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BE56" w14:textId="77777777" w:rsidR="002B10A3" w:rsidRPr="00667AF8" w:rsidRDefault="00667AF8" w:rsidP="002B10A3">
      <w:pPr>
        <w:rPr>
          <w:rFonts w:asciiTheme="majorHAnsi" w:hAnsiTheme="majorHAnsi"/>
          <w:color w:val="0070C0"/>
          <w:sz w:val="26"/>
          <w:szCs w:val="26"/>
          <w:lang w:val="en-GB"/>
        </w:rPr>
      </w:pPr>
      <w:bookmarkStart w:id="0" w:name="_Toc432162679"/>
      <w:r w:rsidRPr="00667AF8">
        <w:rPr>
          <w:rFonts w:asciiTheme="majorHAnsi" w:hAnsiTheme="majorHAnsi"/>
          <w:color w:val="0070C0"/>
          <w:sz w:val="26"/>
          <w:szCs w:val="26"/>
          <w:lang w:val="en-GB"/>
        </w:rPr>
        <w:t>Institute of Actuaries in Belgium</w:t>
      </w:r>
    </w:p>
    <w:p w14:paraId="6781C8D9" w14:textId="77777777" w:rsidR="002B10A3" w:rsidRPr="00667AF8" w:rsidRDefault="002B10A3" w:rsidP="002B10A3">
      <w:pPr>
        <w:rPr>
          <w:rFonts w:asciiTheme="majorHAnsi" w:hAnsiTheme="majorHAnsi"/>
          <w:color w:val="0070C0"/>
          <w:sz w:val="26"/>
          <w:szCs w:val="26"/>
          <w:lang w:val="en-GB"/>
        </w:rPr>
      </w:pPr>
    </w:p>
    <w:bookmarkEnd w:id="0"/>
    <w:p w14:paraId="79032457" w14:textId="77777777" w:rsidR="002B10A3" w:rsidRPr="00667AF8" w:rsidRDefault="00667AF8" w:rsidP="002B10A3">
      <w:pPr>
        <w:tabs>
          <w:tab w:val="left" w:pos="1720"/>
        </w:tabs>
        <w:rPr>
          <w:rFonts w:asciiTheme="majorHAnsi" w:hAnsiTheme="majorHAnsi"/>
          <w:color w:val="0070C0"/>
          <w:sz w:val="26"/>
          <w:szCs w:val="26"/>
          <w:lang w:val="en-GB"/>
        </w:rPr>
      </w:pPr>
      <w:r>
        <w:rPr>
          <w:rFonts w:asciiTheme="majorHAnsi" w:hAnsiTheme="majorHAnsi"/>
          <w:color w:val="0070C0"/>
          <w:sz w:val="26"/>
          <w:szCs w:val="26"/>
          <w:lang w:val="en-GB"/>
        </w:rPr>
        <w:t>C</w:t>
      </w:r>
      <w:r w:rsidRPr="00667AF8">
        <w:rPr>
          <w:rFonts w:asciiTheme="majorHAnsi" w:hAnsiTheme="majorHAnsi"/>
          <w:color w:val="0070C0"/>
          <w:sz w:val="26"/>
          <w:szCs w:val="26"/>
          <w:lang w:val="en-GB"/>
        </w:rPr>
        <w:t xml:space="preserve">ode of Professional Conduct </w:t>
      </w:r>
    </w:p>
    <w:p w14:paraId="089612F2" w14:textId="77777777" w:rsidR="00415B74" w:rsidRPr="00667AF8" w:rsidRDefault="00415B74" w:rsidP="002B10A3">
      <w:pPr>
        <w:tabs>
          <w:tab w:val="left" w:pos="1720"/>
        </w:tabs>
        <w:jc w:val="both"/>
        <w:rPr>
          <w:rFonts w:ascii="Calibri" w:hAnsi="Calibri"/>
          <w:sz w:val="22"/>
          <w:szCs w:val="22"/>
          <w:lang w:val="en-GB"/>
        </w:rPr>
      </w:pPr>
    </w:p>
    <w:p w14:paraId="006192C7" w14:textId="77777777" w:rsidR="005931B6" w:rsidRPr="00667AF8" w:rsidRDefault="005931B6" w:rsidP="002B10A3">
      <w:pPr>
        <w:tabs>
          <w:tab w:val="left" w:pos="1720"/>
        </w:tabs>
        <w:jc w:val="both"/>
        <w:rPr>
          <w:rFonts w:ascii="Calibri" w:hAnsi="Calibri"/>
          <w:sz w:val="22"/>
          <w:szCs w:val="22"/>
          <w:lang w:val="en-GB"/>
        </w:rPr>
      </w:pPr>
    </w:p>
    <w:p w14:paraId="3A488CFF" w14:textId="32C3046C" w:rsidR="002B10A3" w:rsidRPr="0050675A" w:rsidRDefault="00CF455B" w:rsidP="002B10A3">
      <w:pPr>
        <w:tabs>
          <w:tab w:val="left" w:pos="1720"/>
        </w:tabs>
        <w:jc w:val="both"/>
        <w:rPr>
          <w:rFonts w:ascii="Calibri" w:hAnsi="Calibri"/>
          <w:sz w:val="22"/>
          <w:szCs w:val="22"/>
          <w:lang w:val="en-GB"/>
        </w:rPr>
      </w:pPr>
      <w:r w:rsidRPr="0050675A">
        <w:rPr>
          <w:rFonts w:ascii="Calibri" w:hAnsi="Calibri"/>
          <w:sz w:val="22"/>
          <w:szCs w:val="22"/>
          <w:lang w:val="en-GB"/>
        </w:rPr>
        <w:t>Pursuant to Article 25 of the Statutes requiring a Code of Professional Conduct, the Institute has established 11 rules of professional conduct for actuaries</w:t>
      </w:r>
      <w:r w:rsidR="002B10A3" w:rsidRPr="0050675A">
        <w:rPr>
          <w:rFonts w:ascii="Calibri" w:hAnsi="Calibri"/>
          <w:sz w:val="22"/>
          <w:szCs w:val="22"/>
          <w:lang w:val="en-GB"/>
        </w:rPr>
        <w:t xml:space="preserve">. </w:t>
      </w:r>
    </w:p>
    <w:p w14:paraId="0C55EF07" w14:textId="77777777" w:rsidR="002B10A3" w:rsidRPr="0050675A" w:rsidRDefault="002B10A3" w:rsidP="002B10A3">
      <w:pPr>
        <w:tabs>
          <w:tab w:val="left" w:pos="1720"/>
        </w:tabs>
        <w:jc w:val="both"/>
        <w:rPr>
          <w:rFonts w:ascii="Calibri" w:hAnsi="Calibri"/>
          <w:sz w:val="22"/>
          <w:szCs w:val="22"/>
          <w:lang w:val="en-GB"/>
        </w:rPr>
      </w:pPr>
    </w:p>
    <w:p w14:paraId="57BF9FFB" w14:textId="41D1F720" w:rsidR="002B10A3" w:rsidRPr="0050675A" w:rsidRDefault="00CF455B" w:rsidP="002B10A3">
      <w:pPr>
        <w:tabs>
          <w:tab w:val="left" w:pos="1720"/>
        </w:tabs>
        <w:jc w:val="both"/>
        <w:rPr>
          <w:rFonts w:ascii="Calibri" w:hAnsi="Calibri"/>
          <w:sz w:val="22"/>
          <w:szCs w:val="22"/>
          <w:lang w:val="en-GB"/>
        </w:rPr>
      </w:pPr>
      <w:r w:rsidRPr="0050675A">
        <w:rPr>
          <w:rFonts w:ascii="Calibri" w:hAnsi="Calibri"/>
          <w:sz w:val="22"/>
          <w:szCs w:val="22"/>
          <w:lang w:val="en-GB"/>
        </w:rPr>
        <w:t>These rules form together the Code of Professional Conduct. They were approved by the General Meeting on December 10, 2016.</w:t>
      </w:r>
    </w:p>
    <w:p w14:paraId="6D69421D" w14:textId="77777777" w:rsidR="00072872" w:rsidRPr="0050675A" w:rsidRDefault="00072872" w:rsidP="002B10A3">
      <w:pPr>
        <w:tabs>
          <w:tab w:val="left" w:pos="1720"/>
        </w:tabs>
        <w:jc w:val="both"/>
        <w:rPr>
          <w:rFonts w:ascii="Calibri" w:hAnsi="Calibri"/>
          <w:sz w:val="22"/>
          <w:szCs w:val="22"/>
          <w:lang w:val="en-GB"/>
        </w:rPr>
      </w:pPr>
    </w:p>
    <w:p w14:paraId="7A1A3BE2" w14:textId="706D6A0C" w:rsidR="00415B74" w:rsidRPr="000712C5" w:rsidRDefault="000B7E5E" w:rsidP="002B10A3">
      <w:pPr>
        <w:tabs>
          <w:tab w:val="left" w:pos="1720"/>
        </w:tabs>
        <w:jc w:val="both"/>
        <w:rPr>
          <w:rFonts w:ascii="Calibri" w:hAnsi="Calibri"/>
          <w:sz w:val="22"/>
          <w:szCs w:val="22"/>
          <w:lang w:val="en-GB"/>
        </w:rPr>
      </w:pPr>
      <w:r w:rsidRPr="0050675A">
        <w:rPr>
          <w:rFonts w:ascii="Calibri" w:hAnsi="Calibri"/>
          <w:sz w:val="22"/>
          <w:szCs w:val="22"/>
          <w:lang w:val="en-GB"/>
        </w:rPr>
        <w:t xml:space="preserve">Without amending the content, the order of the rules of professional conduct </w:t>
      </w:r>
      <w:r w:rsidR="000712C5" w:rsidRPr="0050675A">
        <w:rPr>
          <w:rFonts w:ascii="Calibri" w:hAnsi="Calibri"/>
          <w:sz w:val="22"/>
          <w:szCs w:val="22"/>
          <w:lang w:val="en-GB"/>
        </w:rPr>
        <w:t xml:space="preserve">within the Code of Professional Conduct </w:t>
      </w:r>
      <w:r w:rsidRPr="0050675A">
        <w:rPr>
          <w:rFonts w:ascii="Calibri" w:hAnsi="Calibri"/>
          <w:sz w:val="22"/>
          <w:szCs w:val="22"/>
          <w:lang w:val="en-GB"/>
        </w:rPr>
        <w:t>has been changed</w:t>
      </w:r>
      <w:r w:rsidR="000712C5" w:rsidRPr="0050675A">
        <w:rPr>
          <w:rFonts w:ascii="Calibri" w:hAnsi="Calibri"/>
          <w:sz w:val="22"/>
          <w:szCs w:val="22"/>
          <w:lang w:val="en-GB"/>
        </w:rPr>
        <w:t>.</w:t>
      </w:r>
      <w:r w:rsidRPr="0050675A">
        <w:rPr>
          <w:rFonts w:ascii="Calibri" w:hAnsi="Calibri"/>
          <w:sz w:val="22"/>
          <w:szCs w:val="22"/>
          <w:lang w:val="en-GB"/>
        </w:rPr>
        <w:t xml:space="preserve"> The</w:t>
      </w:r>
      <w:r w:rsidR="004B5397" w:rsidRPr="0050675A">
        <w:rPr>
          <w:rFonts w:ascii="Calibri" w:hAnsi="Calibri"/>
          <w:sz w:val="22"/>
          <w:szCs w:val="22"/>
          <w:lang w:val="en-GB"/>
        </w:rPr>
        <w:t xml:space="preserve"> rules</w:t>
      </w:r>
      <w:r w:rsidRPr="0050675A">
        <w:rPr>
          <w:rFonts w:ascii="Calibri" w:hAnsi="Calibri"/>
          <w:sz w:val="22"/>
          <w:szCs w:val="22"/>
          <w:lang w:val="en-GB"/>
        </w:rPr>
        <w:t xml:space="preserve"> have been classified in 5 domains, in line with the advice of the AAE</w:t>
      </w:r>
      <w:r w:rsidR="009423E2" w:rsidRPr="0050675A">
        <w:rPr>
          <w:rStyle w:val="FootnoteReference"/>
          <w:rFonts w:ascii="Calibri" w:hAnsi="Calibri"/>
          <w:sz w:val="22"/>
          <w:szCs w:val="22"/>
          <w:lang w:val="nl-BE"/>
        </w:rPr>
        <w:footnoteReference w:id="1"/>
      </w:r>
      <w:r w:rsidR="00494E6A" w:rsidRPr="0050675A">
        <w:rPr>
          <w:rFonts w:ascii="Calibri" w:hAnsi="Calibri"/>
          <w:sz w:val="22"/>
          <w:szCs w:val="22"/>
          <w:lang w:val="en-GB"/>
        </w:rPr>
        <w:t>.</w:t>
      </w:r>
      <w:r w:rsidR="00494E6A" w:rsidRPr="000712C5">
        <w:rPr>
          <w:rFonts w:ascii="Calibri" w:hAnsi="Calibri"/>
          <w:sz w:val="22"/>
          <w:szCs w:val="22"/>
          <w:lang w:val="en-GB"/>
        </w:rPr>
        <w:t xml:space="preserve"> </w:t>
      </w:r>
    </w:p>
    <w:p w14:paraId="5B7835ED" w14:textId="77777777" w:rsidR="005931B6" w:rsidRPr="000712C5" w:rsidRDefault="005931B6" w:rsidP="002B10A3">
      <w:pPr>
        <w:tabs>
          <w:tab w:val="left" w:pos="1720"/>
        </w:tabs>
        <w:jc w:val="both"/>
        <w:rPr>
          <w:rFonts w:ascii="Calibri" w:hAnsi="Calibri"/>
          <w:b/>
          <w:sz w:val="22"/>
          <w:szCs w:val="22"/>
          <w:lang w:val="en-GB"/>
        </w:rPr>
      </w:pPr>
    </w:p>
    <w:p w14:paraId="2DB9A36F" w14:textId="77777777" w:rsidR="002B10A3" w:rsidRPr="00B7403C" w:rsidRDefault="002B10A3" w:rsidP="002B10A3">
      <w:pPr>
        <w:tabs>
          <w:tab w:val="left" w:pos="1720"/>
        </w:tabs>
        <w:jc w:val="both"/>
        <w:rPr>
          <w:rFonts w:ascii="Calibri" w:hAnsi="Calibri"/>
          <w:b/>
          <w:sz w:val="22"/>
          <w:szCs w:val="22"/>
          <w:lang w:val="en-GB"/>
        </w:rPr>
      </w:pPr>
      <w:r w:rsidRPr="00B7403C">
        <w:rPr>
          <w:rFonts w:ascii="Calibri" w:hAnsi="Calibri"/>
          <w:b/>
          <w:sz w:val="22"/>
          <w:szCs w:val="22"/>
          <w:lang w:val="en-GB"/>
        </w:rPr>
        <w:t xml:space="preserve">A. </w:t>
      </w:r>
      <w:r w:rsidR="00667AF8" w:rsidRPr="00B7403C">
        <w:rPr>
          <w:rFonts w:ascii="Calibri" w:hAnsi="Calibri"/>
          <w:b/>
          <w:sz w:val="22"/>
          <w:szCs w:val="22"/>
          <w:lang w:val="en-GB"/>
        </w:rPr>
        <w:t>Integrity</w:t>
      </w:r>
    </w:p>
    <w:p w14:paraId="45BFA71A" w14:textId="77777777" w:rsidR="002B10A3" w:rsidRPr="00B7403C" w:rsidRDefault="002B10A3" w:rsidP="002B10A3">
      <w:pPr>
        <w:tabs>
          <w:tab w:val="left" w:pos="1720"/>
        </w:tabs>
        <w:jc w:val="both"/>
        <w:rPr>
          <w:rFonts w:ascii="Calibri" w:hAnsi="Calibri"/>
          <w:sz w:val="22"/>
          <w:szCs w:val="22"/>
          <w:lang w:val="en-GB"/>
        </w:rPr>
      </w:pPr>
    </w:p>
    <w:p w14:paraId="647A58C0" w14:textId="77777777" w:rsidR="00415B74" w:rsidRPr="00B7403C"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B7403C">
        <w:rPr>
          <w:rFonts w:ascii="Calibri" w:hAnsi="Calibri" w:cs="TT15Ct00"/>
          <w:i/>
          <w:sz w:val="22"/>
          <w:szCs w:val="22"/>
          <w:u w:val="single"/>
          <w:lang w:val="en-GB" w:eastAsia="nl-BE"/>
        </w:rPr>
        <w:t xml:space="preserve">Article </w:t>
      </w:r>
      <w:r w:rsidR="00415B74" w:rsidRPr="00B7403C">
        <w:rPr>
          <w:rFonts w:ascii="Calibri" w:hAnsi="Calibri" w:cs="TT15Ct00"/>
          <w:i/>
          <w:sz w:val="22"/>
          <w:szCs w:val="22"/>
          <w:u w:val="single"/>
          <w:lang w:val="en-GB" w:eastAsia="nl-BE"/>
        </w:rPr>
        <w:t>1</w:t>
      </w:r>
    </w:p>
    <w:p w14:paraId="059B4460" w14:textId="0D6A8EA0" w:rsidR="00B02A61" w:rsidRPr="00FF38E7" w:rsidRDefault="00B02A61"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sidRPr="00B02A61">
        <w:rPr>
          <w:rFonts w:ascii="Calibri" w:hAnsi="Calibri" w:cs="TT15Ct00"/>
          <w:i/>
          <w:sz w:val="22"/>
          <w:szCs w:val="22"/>
          <w:lang w:val="en-GB" w:eastAsia="nl-BE"/>
        </w:rPr>
        <w:t xml:space="preserve">The actuary </w:t>
      </w:r>
      <w:r>
        <w:rPr>
          <w:rFonts w:ascii="Calibri" w:hAnsi="Calibri" w:cs="TT15Ct00"/>
          <w:i/>
          <w:sz w:val="22"/>
          <w:szCs w:val="22"/>
          <w:lang w:val="en-GB" w:eastAsia="nl-BE"/>
        </w:rPr>
        <w:t xml:space="preserve">is expected </w:t>
      </w:r>
      <w:r w:rsidR="00FF38E7">
        <w:rPr>
          <w:rFonts w:ascii="Calibri" w:hAnsi="Calibri" w:cs="TT15Ct00"/>
          <w:i/>
          <w:sz w:val="22"/>
          <w:szCs w:val="22"/>
          <w:lang w:val="en-GB" w:eastAsia="nl-BE"/>
        </w:rPr>
        <w:t>to perform professional services</w:t>
      </w:r>
      <w:r>
        <w:rPr>
          <w:rFonts w:ascii="Calibri" w:hAnsi="Calibri" w:cs="TT15Ct00"/>
          <w:i/>
          <w:sz w:val="22"/>
          <w:szCs w:val="22"/>
          <w:lang w:val="en-GB" w:eastAsia="nl-BE"/>
        </w:rPr>
        <w:t xml:space="preserve"> with integrity, competence and</w:t>
      </w:r>
      <w:r w:rsidR="00FF38E7">
        <w:rPr>
          <w:rFonts w:ascii="Calibri" w:hAnsi="Calibri" w:cs="TT15Ct00"/>
          <w:i/>
          <w:sz w:val="22"/>
          <w:szCs w:val="22"/>
          <w:lang w:val="en-GB" w:eastAsia="nl-BE"/>
        </w:rPr>
        <w:t xml:space="preserve"> care</w:t>
      </w:r>
      <w:r>
        <w:rPr>
          <w:rFonts w:ascii="Calibri" w:hAnsi="Calibri" w:cs="TT15Ct00"/>
          <w:i/>
          <w:sz w:val="22"/>
          <w:szCs w:val="22"/>
          <w:lang w:val="en-GB" w:eastAsia="nl-BE"/>
        </w:rPr>
        <w:t xml:space="preserve">. </w:t>
      </w:r>
      <w:r w:rsidRPr="00FF38E7">
        <w:rPr>
          <w:rFonts w:ascii="Calibri" w:hAnsi="Calibri" w:cs="TT15Ct00"/>
          <w:i/>
          <w:sz w:val="22"/>
          <w:szCs w:val="22"/>
          <w:lang w:val="en-GB" w:eastAsia="nl-BE"/>
        </w:rPr>
        <w:t xml:space="preserve">He will </w:t>
      </w:r>
      <w:r w:rsidR="00FF38E7">
        <w:rPr>
          <w:rFonts w:ascii="Calibri" w:hAnsi="Calibri" w:cs="TT15Ct00"/>
          <w:i/>
          <w:sz w:val="22"/>
          <w:szCs w:val="22"/>
          <w:lang w:val="en-GB" w:eastAsia="nl-BE"/>
        </w:rPr>
        <w:t>take</w:t>
      </w:r>
      <w:r w:rsidRPr="00FF38E7">
        <w:rPr>
          <w:rFonts w:ascii="Calibri" w:hAnsi="Calibri" w:cs="TT15Ct00"/>
          <w:i/>
          <w:sz w:val="22"/>
          <w:szCs w:val="22"/>
          <w:lang w:val="en-GB" w:eastAsia="nl-BE"/>
        </w:rPr>
        <w:t xml:space="preserve"> professional responsibility </w:t>
      </w:r>
      <w:r w:rsidR="00FF38E7">
        <w:rPr>
          <w:rFonts w:ascii="Calibri" w:hAnsi="Calibri" w:cs="TT15Ct00"/>
          <w:i/>
          <w:sz w:val="22"/>
          <w:szCs w:val="22"/>
          <w:lang w:val="en-GB" w:eastAsia="nl-BE"/>
        </w:rPr>
        <w:t>to his client or employer and should not act in a way contrary to law or public policy.</w:t>
      </w:r>
    </w:p>
    <w:p w14:paraId="07841AC7" w14:textId="77777777" w:rsidR="00415B74" w:rsidRPr="00B7403C"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B7403C">
        <w:rPr>
          <w:rFonts w:ascii="Calibri" w:hAnsi="Calibri" w:cs="TT15Ct00"/>
          <w:i/>
          <w:sz w:val="22"/>
          <w:szCs w:val="22"/>
          <w:u w:val="single"/>
          <w:lang w:val="en-GB" w:eastAsia="nl-BE"/>
        </w:rPr>
        <w:t xml:space="preserve">Article </w:t>
      </w:r>
      <w:r w:rsidR="00415B74" w:rsidRPr="00B7403C">
        <w:rPr>
          <w:rFonts w:ascii="Calibri" w:hAnsi="Calibri" w:cs="TT15Ct00"/>
          <w:i/>
          <w:sz w:val="22"/>
          <w:szCs w:val="22"/>
          <w:u w:val="single"/>
          <w:lang w:val="en-GB" w:eastAsia="nl-BE"/>
        </w:rPr>
        <w:t xml:space="preserve">2 </w:t>
      </w:r>
    </w:p>
    <w:p w14:paraId="11369602" w14:textId="22C8791C" w:rsidR="00FF38E7" w:rsidRPr="0052680D" w:rsidRDefault="00FF38E7"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sidRPr="0052680D">
        <w:rPr>
          <w:rFonts w:ascii="Calibri" w:hAnsi="Calibri" w:cs="TT15Ct00"/>
          <w:i/>
          <w:sz w:val="22"/>
          <w:szCs w:val="22"/>
          <w:lang w:val="en-GB" w:eastAsia="nl-BE"/>
        </w:rPr>
        <w:t xml:space="preserve">The actuary </w:t>
      </w:r>
      <w:r w:rsidR="0052680D" w:rsidRPr="0052680D">
        <w:rPr>
          <w:rFonts w:ascii="Calibri" w:hAnsi="Calibri" w:cs="TT15Ct00"/>
          <w:i/>
          <w:sz w:val="22"/>
          <w:szCs w:val="22"/>
          <w:lang w:val="en-GB" w:eastAsia="nl-BE"/>
        </w:rPr>
        <w:t xml:space="preserve">will </w:t>
      </w:r>
      <w:r w:rsidR="0052680D">
        <w:rPr>
          <w:rFonts w:ascii="Calibri" w:hAnsi="Calibri" w:cs="TT15Ct00"/>
          <w:i/>
          <w:sz w:val="22"/>
          <w:szCs w:val="22"/>
          <w:lang w:val="en-GB" w:eastAsia="nl-BE"/>
        </w:rPr>
        <w:t>e</w:t>
      </w:r>
      <w:r w:rsidR="0052680D" w:rsidRPr="0052680D">
        <w:rPr>
          <w:rFonts w:ascii="Calibri" w:hAnsi="Calibri" w:cs="TT15Ct00"/>
          <w:i/>
          <w:sz w:val="22"/>
          <w:szCs w:val="22"/>
          <w:lang w:val="en-GB" w:eastAsia="nl-BE"/>
        </w:rPr>
        <w:t>nsure t</w:t>
      </w:r>
      <w:r w:rsidR="0052680D">
        <w:rPr>
          <w:rFonts w:ascii="Calibri" w:hAnsi="Calibri" w:cs="TT15Ct00"/>
          <w:i/>
          <w:sz w:val="22"/>
          <w:szCs w:val="22"/>
          <w:lang w:val="en-GB" w:eastAsia="nl-BE"/>
        </w:rPr>
        <w:t>hat the reputation of the actuarial profession is maintained. He should not engage in advertising which would lead to dishonest professional advantages.</w:t>
      </w:r>
    </w:p>
    <w:p w14:paraId="1FA396F4" w14:textId="77777777" w:rsidR="00415B74" w:rsidRPr="0050675A"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50675A">
        <w:rPr>
          <w:rFonts w:ascii="Calibri" w:hAnsi="Calibri" w:cs="TT15Ct00"/>
          <w:i/>
          <w:sz w:val="22"/>
          <w:szCs w:val="22"/>
          <w:u w:val="single"/>
          <w:lang w:val="en-GB" w:eastAsia="nl-BE"/>
        </w:rPr>
        <w:t xml:space="preserve">Article </w:t>
      </w:r>
      <w:r w:rsidR="00415B74" w:rsidRPr="0050675A">
        <w:rPr>
          <w:rFonts w:ascii="Calibri" w:hAnsi="Calibri" w:cs="TT15Ct00"/>
          <w:i/>
          <w:sz w:val="22"/>
          <w:szCs w:val="22"/>
          <w:u w:val="single"/>
          <w:lang w:val="en-GB" w:eastAsia="nl-BE"/>
        </w:rPr>
        <w:t>3</w:t>
      </w:r>
    </w:p>
    <w:p w14:paraId="0BE00E83" w14:textId="03E6F9D1" w:rsidR="0052680D" w:rsidRPr="00B7403C" w:rsidRDefault="00B7403C"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The actuary should act with courtesy and</w:t>
      </w:r>
      <w:r w:rsidRPr="00B7403C">
        <w:rPr>
          <w:rFonts w:ascii="Calibri" w:hAnsi="Calibri" w:cs="TT15Ct00"/>
          <w:i/>
          <w:sz w:val="22"/>
          <w:szCs w:val="22"/>
          <w:lang w:val="en-GB" w:eastAsia="nl-BE"/>
        </w:rPr>
        <w:t xml:space="preserve"> cooperate with others serving the actuary’s</w:t>
      </w:r>
      <w:r>
        <w:rPr>
          <w:rFonts w:ascii="Calibri" w:hAnsi="Calibri" w:cs="TT15Ct00"/>
          <w:i/>
          <w:sz w:val="22"/>
          <w:szCs w:val="22"/>
          <w:lang w:val="en-GB" w:eastAsia="nl-BE"/>
        </w:rPr>
        <w:t xml:space="preserve"> client or employer</w:t>
      </w:r>
      <w:r w:rsidRPr="00B7403C">
        <w:rPr>
          <w:rFonts w:ascii="Calibri" w:hAnsi="Calibri" w:cs="TT15Ct00"/>
          <w:i/>
          <w:sz w:val="22"/>
          <w:szCs w:val="22"/>
          <w:lang w:val="en-GB" w:eastAsia="nl-BE"/>
        </w:rPr>
        <w:t xml:space="preserve">. </w:t>
      </w:r>
      <w:r w:rsidR="009A30A6">
        <w:rPr>
          <w:rFonts w:ascii="Calibri" w:hAnsi="Calibri" w:cs="TT15Ct00"/>
          <w:i/>
          <w:sz w:val="22"/>
          <w:szCs w:val="22"/>
          <w:lang w:val="en-GB" w:eastAsia="nl-BE"/>
        </w:rPr>
        <w:t>He</w:t>
      </w:r>
      <w:r w:rsidR="009A30A6" w:rsidRPr="009A30A6">
        <w:rPr>
          <w:rFonts w:ascii="Calibri" w:hAnsi="Calibri" w:cs="TT15Ct00"/>
          <w:i/>
          <w:sz w:val="22"/>
          <w:szCs w:val="22"/>
          <w:lang w:val="en-GB" w:eastAsia="nl-BE"/>
        </w:rPr>
        <w:t xml:space="preserve"> must respect the confidentiality of information received</w:t>
      </w:r>
      <w:r w:rsidR="009A30A6">
        <w:rPr>
          <w:rFonts w:ascii="Calibri" w:hAnsi="Calibri" w:cs="TT15Ct00"/>
          <w:i/>
          <w:sz w:val="22"/>
          <w:szCs w:val="22"/>
          <w:lang w:val="en-GB" w:eastAsia="nl-BE"/>
        </w:rPr>
        <w:t xml:space="preserve"> from his employer or client</w:t>
      </w:r>
      <w:r w:rsidR="009A30A6" w:rsidRPr="009A30A6">
        <w:rPr>
          <w:rFonts w:ascii="Calibri" w:hAnsi="Calibri" w:cs="TT15Ct00"/>
          <w:i/>
          <w:sz w:val="22"/>
          <w:szCs w:val="22"/>
          <w:lang w:val="en-GB" w:eastAsia="nl-BE"/>
        </w:rPr>
        <w:t xml:space="preserve">.  </w:t>
      </w:r>
    </w:p>
    <w:p w14:paraId="551AF51A" w14:textId="77777777" w:rsidR="005931B6" w:rsidRPr="0050675A"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50675A">
        <w:rPr>
          <w:rFonts w:ascii="Calibri" w:hAnsi="Calibri" w:cs="TT15Ct00"/>
          <w:i/>
          <w:sz w:val="22"/>
          <w:szCs w:val="22"/>
          <w:u w:val="single"/>
          <w:lang w:val="en-GB" w:eastAsia="nl-BE"/>
        </w:rPr>
        <w:t xml:space="preserve">Article </w:t>
      </w:r>
      <w:r w:rsidR="005931B6" w:rsidRPr="0050675A">
        <w:rPr>
          <w:rFonts w:ascii="Calibri" w:hAnsi="Calibri" w:cs="TT15Ct00"/>
          <w:i/>
          <w:sz w:val="22"/>
          <w:szCs w:val="22"/>
          <w:u w:val="single"/>
          <w:lang w:val="en-GB" w:eastAsia="nl-BE"/>
        </w:rPr>
        <w:t>4</w:t>
      </w:r>
    </w:p>
    <w:p w14:paraId="358B7634" w14:textId="7C3843A4" w:rsidR="00C87324" w:rsidRPr="00430ABD" w:rsidRDefault="00430ABD"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sidRPr="00430ABD">
        <w:rPr>
          <w:rFonts w:ascii="Calibri" w:hAnsi="Calibri" w:cs="TT15Ct00"/>
          <w:i/>
          <w:sz w:val="22"/>
          <w:szCs w:val="22"/>
          <w:lang w:val="en-GB" w:eastAsia="nl-BE"/>
        </w:rPr>
        <w:t xml:space="preserve">When an actuary is asked to perform work previously performed by another person, the actuary must consider whether it is appropriate to consult with the previous provider to establish whether </w:t>
      </w:r>
      <w:r w:rsidR="008911A2">
        <w:rPr>
          <w:rFonts w:ascii="Calibri" w:hAnsi="Calibri" w:cs="TT15Ct00"/>
          <w:i/>
          <w:sz w:val="22"/>
          <w:szCs w:val="22"/>
          <w:lang w:val="en-GB" w:eastAsia="nl-BE"/>
        </w:rPr>
        <w:t xml:space="preserve">it is convenient to </w:t>
      </w:r>
      <w:r w:rsidRPr="00430ABD">
        <w:rPr>
          <w:rFonts w:ascii="Calibri" w:hAnsi="Calibri" w:cs="TT15Ct00"/>
          <w:i/>
          <w:sz w:val="22"/>
          <w:szCs w:val="22"/>
          <w:lang w:val="en-GB" w:eastAsia="nl-BE"/>
        </w:rPr>
        <w:t xml:space="preserve">take on the new responsibility.  </w:t>
      </w:r>
    </w:p>
    <w:p w14:paraId="717877D8" w14:textId="77777777" w:rsidR="00415B74" w:rsidRPr="00430ABD" w:rsidRDefault="00415B74" w:rsidP="002B10A3">
      <w:pPr>
        <w:tabs>
          <w:tab w:val="left" w:pos="1720"/>
        </w:tabs>
        <w:jc w:val="both"/>
        <w:rPr>
          <w:rFonts w:ascii="Calibri" w:hAnsi="Calibri"/>
          <w:b/>
          <w:sz w:val="22"/>
          <w:szCs w:val="22"/>
          <w:lang w:val="en-GB"/>
        </w:rPr>
      </w:pPr>
    </w:p>
    <w:p w14:paraId="359A8272" w14:textId="77777777" w:rsidR="005931B6" w:rsidRPr="00667AF8" w:rsidRDefault="00667AF8" w:rsidP="005931B6">
      <w:pPr>
        <w:tabs>
          <w:tab w:val="left" w:pos="1720"/>
        </w:tabs>
        <w:jc w:val="both"/>
        <w:rPr>
          <w:rFonts w:ascii="Calibri" w:hAnsi="Calibri"/>
          <w:b/>
          <w:sz w:val="22"/>
          <w:szCs w:val="22"/>
          <w:lang w:val="en-GB"/>
        </w:rPr>
      </w:pPr>
      <w:r w:rsidRPr="00667AF8">
        <w:rPr>
          <w:rFonts w:ascii="Calibri" w:hAnsi="Calibri"/>
          <w:b/>
          <w:sz w:val="22"/>
          <w:szCs w:val="22"/>
          <w:lang w:val="en-GB"/>
        </w:rPr>
        <w:t xml:space="preserve">B. Professional Behaviour, Competence and Care </w:t>
      </w:r>
    </w:p>
    <w:p w14:paraId="038B1554" w14:textId="77777777" w:rsidR="005931B6" w:rsidRPr="00667AF8" w:rsidRDefault="005931B6" w:rsidP="005931B6">
      <w:pPr>
        <w:tabs>
          <w:tab w:val="left" w:pos="1720"/>
        </w:tabs>
        <w:jc w:val="both"/>
        <w:rPr>
          <w:rFonts w:ascii="Calibri" w:hAnsi="Calibri"/>
          <w:b/>
          <w:sz w:val="22"/>
          <w:szCs w:val="22"/>
          <w:lang w:val="en-GB"/>
        </w:rPr>
      </w:pPr>
    </w:p>
    <w:p w14:paraId="09BDD6B0" w14:textId="77777777" w:rsidR="005931B6" w:rsidRPr="0050675A"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50675A">
        <w:rPr>
          <w:rFonts w:ascii="Calibri" w:hAnsi="Calibri" w:cs="TT15Ct00"/>
          <w:i/>
          <w:sz w:val="22"/>
          <w:szCs w:val="22"/>
          <w:u w:val="single"/>
          <w:lang w:val="en-GB" w:eastAsia="nl-BE"/>
        </w:rPr>
        <w:t>Article 5</w:t>
      </w:r>
    </w:p>
    <w:p w14:paraId="5D8D4902" w14:textId="56B3E32B" w:rsidR="00C8320E" w:rsidRPr="00F67D59" w:rsidRDefault="00F67D59" w:rsidP="00C8320E">
      <w:pPr>
        <w:autoSpaceDE w:val="0"/>
        <w:autoSpaceDN w:val="0"/>
        <w:adjustRightInd w:val="0"/>
        <w:spacing w:before="120" w:after="120"/>
        <w:jc w:val="both"/>
        <w:rPr>
          <w:rFonts w:ascii="Calibri" w:hAnsi="Calibri" w:cs="TT15Ct00"/>
          <w:i/>
          <w:sz w:val="22"/>
          <w:szCs w:val="22"/>
          <w:lang w:val="en-GB" w:eastAsia="nl-BE"/>
        </w:rPr>
      </w:pPr>
      <w:r>
        <w:rPr>
          <w:rFonts w:ascii="Calibri" w:hAnsi="Calibri" w:cs="TT15Ct00"/>
          <w:i/>
          <w:sz w:val="22"/>
          <w:szCs w:val="22"/>
          <w:lang w:val="en-GB" w:eastAsia="nl-BE"/>
        </w:rPr>
        <w:t>The</w:t>
      </w:r>
      <w:r w:rsidRPr="00F67D59">
        <w:rPr>
          <w:rFonts w:ascii="Calibri" w:hAnsi="Calibri" w:cs="TT15Ct00"/>
          <w:i/>
          <w:sz w:val="22"/>
          <w:szCs w:val="22"/>
          <w:lang w:val="en-GB" w:eastAsia="nl-BE"/>
        </w:rPr>
        <w:t xml:space="preserve"> actuary must </w:t>
      </w:r>
      <w:r>
        <w:rPr>
          <w:rFonts w:ascii="Calibri" w:hAnsi="Calibri" w:cs="TT15Ct00"/>
          <w:i/>
          <w:sz w:val="22"/>
          <w:szCs w:val="22"/>
          <w:lang w:val="en-GB" w:eastAsia="nl-BE"/>
        </w:rPr>
        <w:t>offer</w:t>
      </w:r>
      <w:r w:rsidRPr="00F67D59">
        <w:rPr>
          <w:rFonts w:ascii="Calibri" w:hAnsi="Calibri" w:cs="TT15Ct00"/>
          <w:i/>
          <w:sz w:val="22"/>
          <w:szCs w:val="22"/>
          <w:lang w:val="en-GB" w:eastAsia="nl-BE"/>
        </w:rPr>
        <w:t xml:space="preserve"> professional services only if</w:t>
      </w:r>
      <w:r>
        <w:rPr>
          <w:rFonts w:ascii="Calibri" w:hAnsi="Calibri" w:cs="TT15Ct00"/>
          <w:i/>
          <w:sz w:val="22"/>
          <w:szCs w:val="22"/>
          <w:lang w:val="en-GB" w:eastAsia="nl-BE"/>
        </w:rPr>
        <w:t xml:space="preserve"> he</w:t>
      </w:r>
      <w:r w:rsidRPr="00F67D59">
        <w:rPr>
          <w:rFonts w:ascii="Calibri" w:hAnsi="Calibri" w:cs="TT15Ct00"/>
          <w:i/>
          <w:sz w:val="22"/>
          <w:szCs w:val="22"/>
          <w:lang w:val="en-GB" w:eastAsia="nl-BE"/>
        </w:rPr>
        <w:t xml:space="preserve"> is competent and appropriately experienced to do so</w:t>
      </w:r>
      <w:r>
        <w:rPr>
          <w:rFonts w:ascii="Calibri" w:hAnsi="Calibri" w:cs="TT15Ct00"/>
          <w:i/>
          <w:sz w:val="22"/>
          <w:szCs w:val="22"/>
          <w:lang w:val="en-GB" w:eastAsia="nl-BE"/>
        </w:rPr>
        <w:t>.</w:t>
      </w:r>
    </w:p>
    <w:p w14:paraId="3F677BEF" w14:textId="77777777" w:rsidR="005931B6" w:rsidRPr="0050675A"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en-GB" w:eastAsia="nl-BE"/>
        </w:rPr>
      </w:pPr>
      <w:r w:rsidRPr="0050675A">
        <w:rPr>
          <w:rFonts w:ascii="Calibri" w:hAnsi="Calibri" w:cs="TT15Ct00"/>
          <w:i/>
          <w:sz w:val="22"/>
          <w:szCs w:val="22"/>
          <w:u w:val="single"/>
          <w:lang w:val="en-GB" w:eastAsia="nl-BE"/>
        </w:rPr>
        <w:t>Article 6</w:t>
      </w:r>
    </w:p>
    <w:p w14:paraId="167545FD" w14:textId="103C2C26" w:rsidR="00F67D59" w:rsidRPr="0050675A" w:rsidRDefault="00A20691" w:rsidP="00F67D59">
      <w:pPr>
        <w:autoSpaceDE w:val="0"/>
        <w:autoSpaceDN w:val="0"/>
        <w:adjustRightInd w:val="0"/>
        <w:spacing w:before="120" w:after="120"/>
        <w:jc w:val="both"/>
        <w:rPr>
          <w:rFonts w:ascii="Calibri" w:hAnsi="Calibri" w:cs="TT15Ct00"/>
          <w:i/>
          <w:sz w:val="22"/>
          <w:szCs w:val="22"/>
          <w:lang w:val="en-GB" w:eastAsia="nl-BE"/>
        </w:rPr>
      </w:pPr>
      <w:r w:rsidRPr="0050675A">
        <w:rPr>
          <w:rFonts w:ascii="Calibri" w:hAnsi="Calibri" w:cs="TT15Ct00"/>
          <w:i/>
          <w:sz w:val="22"/>
          <w:szCs w:val="22"/>
          <w:lang w:val="en-GB" w:eastAsia="nl-BE"/>
        </w:rPr>
        <w:t xml:space="preserve">The actuary is responsible for updating the knowledge </w:t>
      </w:r>
      <w:r w:rsidR="00DA5800" w:rsidRPr="0050675A">
        <w:rPr>
          <w:rFonts w:ascii="Calibri" w:hAnsi="Calibri" w:cs="TT15Ct00"/>
          <w:i/>
          <w:sz w:val="22"/>
          <w:szCs w:val="22"/>
          <w:lang w:val="en-GB" w:eastAsia="nl-BE"/>
        </w:rPr>
        <w:t xml:space="preserve">which is </w:t>
      </w:r>
      <w:r w:rsidRPr="0050675A">
        <w:rPr>
          <w:rFonts w:ascii="Calibri" w:hAnsi="Calibri" w:cs="TT15Ct00"/>
          <w:i/>
          <w:sz w:val="22"/>
          <w:szCs w:val="22"/>
          <w:lang w:val="en-GB" w:eastAsia="nl-BE"/>
        </w:rPr>
        <w:t xml:space="preserve">necessary for </w:t>
      </w:r>
      <w:r w:rsidR="00DA5800" w:rsidRPr="0050675A">
        <w:rPr>
          <w:rFonts w:ascii="Calibri" w:hAnsi="Calibri" w:cs="TT15Ct00"/>
          <w:i/>
          <w:sz w:val="22"/>
          <w:szCs w:val="22"/>
          <w:lang w:val="en-GB" w:eastAsia="nl-BE"/>
        </w:rPr>
        <w:t>the performance of</w:t>
      </w:r>
      <w:r w:rsidRPr="0050675A">
        <w:rPr>
          <w:rFonts w:ascii="Calibri" w:hAnsi="Calibri" w:cs="TT15Ct00"/>
          <w:i/>
          <w:sz w:val="22"/>
          <w:szCs w:val="22"/>
          <w:lang w:val="en-GB" w:eastAsia="nl-BE"/>
        </w:rPr>
        <w:t xml:space="preserve"> the actuarial profession and shall comply with the continuous professional </w:t>
      </w:r>
      <w:r w:rsidR="00DA5800" w:rsidRPr="0050675A">
        <w:rPr>
          <w:rFonts w:ascii="Calibri" w:hAnsi="Calibri" w:cs="TT15Ct00"/>
          <w:i/>
          <w:sz w:val="22"/>
          <w:szCs w:val="22"/>
          <w:lang w:val="en-GB" w:eastAsia="nl-BE"/>
        </w:rPr>
        <w:t>development rules imposed by the Institute</w:t>
      </w:r>
      <w:r w:rsidR="00F67D59" w:rsidRPr="0050675A">
        <w:rPr>
          <w:rFonts w:ascii="Calibri" w:hAnsi="Calibri" w:cs="TT15Ct00"/>
          <w:i/>
          <w:sz w:val="22"/>
          <w:szCs w:val="22"/>
          <w:lang w:val="en-GB" w:eastAsia="nl-BE"/>
        </w:rPr>
        <w:t>.</w:t>
      </w:r>
    </w:p>
    <w:p w14:paraId="0D2DF982" w14:textId="77777777" w:rsidR="00F67D59" w:rsidRPr="0050675A" w:rsidRDefault="00F67D59"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p>
    <w:p w14:paraId="28695D12" w14:textId="77777777" w:rsidR="00415B74" w:rsidRPr="0050675A" w:rsidRDefault="00415B74" w:rsidP="002B10A3">
      <w:pPr>
        <w:tabs>
          <w:tab w:val="left" w:pos="1720"/>
        </w:tabs>
        <w:jc w:val="both"/>
        <w:rPr>
          <w:rFonts w:ascii="Calibri" w:hAnsi="Calibri"/>
          <w:b/>
          <w:sz w:val="22"/>
          <w:szCs w:val="22"/>
          <w:lang w:val="en-GB"/>
        </w:rPr>
      </w:pPr>
    </w:p>
    <w:p w14:paraId="6D243682" w14:textId="77777777" w:rsidR="002B10A3" w:rsidRPr="007409FA" w:rsidRDefault="002B10A3" w:rsidP="002B10A3">
      <w:pPr>
        <w:tabs>
          <w:tab w:val="left" w:pos="1720"/>
        </w:tabs>
        <w:jc w:val="both"/>
        <w:rPr>
          <w:rFonts w:ascii="Calibri" w:hAnsi="Calibri"/>
          <w:b/>
          <w:sz w:val="22"/>
          <w:szCs w:val="22"/>
          <w:lang w:val="nl-BE"/>
        </w:rPr>
      </w:pPr>
      <w:r w:rsidRPr="007409FA">
        <w:rPr>
          <w:rFonts w:ascii="Calibri" w:hAnsi="Calibri"/>
          <w:b/>
          <w:sz w:val="22"/>
          <w:szCs w:val="22"/>
          <w:lang w:val="nl-BE"/>
        </w:rPr>
        <w:t xml:space="preserve">C. </w:t>
      </w:r>
      <w:r w:rsidR="00667AF8">
        <w:rPr>
          <w:rFonts w:ascii="Calibri" w:hAnsi="Calibri"/>
          <w:b/>
          <w:sz w:val="22"/>
          <w:szCs w:val="22"/>
          <w:lang w:val="nl-BE"/>
        </w:rPr>
        <w:t xml:space="preserve">Compliance </w:t>
      </w:r>
    </w:p>
    <w:p w14:paraId="214BFED5" w14:textId="77777777" w:rsidR="002B10A3" w:rsidRPr="007409FA" w:rsidRDefault="002B10A3" w:rsidP="002B10A3">
      <w:pPr>
        <w:tabs>
          <w:tab w:val="left" w:pos="1720"/>
        </w:tabs>
        <w:jc w:val="both"/>
        <w:rPr>
          <w:rFonts w:ascii="Calibri" w:hAnsi="Calibri"/>
          <w:b/>
          <w:sz w:val="22"/>
          <w:szCs w:val="22"/>
          <w:lang w:val="nl-BE"/>
        </w:rPr>
      </w:pPr>
    </w:p>
    <w:p w14:paraId="7B7BF08A" w14:textId="77777777" w:rsidR="005931B6" w:rsidRPr="005931B6"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nl-BE" w:eastAsia="nl-BE"/>
        </w:rPr>
      </w:pPr>
      <w:r>
        <w:rPr>
          <w:rFonts w:ascii="Calibri" w:hAnsi="Calibri" w:cs="TT15Ct00"/>
          <w:i/>
          <w:sz w:val="22"/>
          <w:szCs w:val="22"/>
          <w:u w:val="single"/>
          <w:lang w:val="nl-BE" w:eastAsia="nl-BE"/>
        </w:rPr>
        <w:t xml:space="preserve">Article </w:t>
      </w:r>
      <w:r w:rsidR="005931B6" w:rsidRPr="005931B6">
        <w:rPr>
          <w:rFonts w:ascii="Calibri" w:hAnsi="Calibri" w:cs="TT15Ct00"/>
          <w:i/>
          <w:sz w:val="22"/>
          <w:szCs w:val="22"/>
          <w:u w:val="single"/>
          <w:lang w:val="nl-BE" w:eastAsia="nl-BE"/>
        </w:rPr>
        <w:t>7</w:t>
      </w:r>
    </w:p>
    <w:p w14:paraId="10A04417" w14:textId="08AFE645" w:rsidR="0050675A" w:rsidRPr="0050675A" w:rsidRDefault="0050675A"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 xml:space="preserve">The actuary will observe the professional </w:t>
      </w:r>
      <w:r w:rsidRPr="0050675A">
        <w:rPr>
          <w:rFonts w:ascii="Calibri" w:hAnsi="Calibri" w:cs="TT15Ct00"/>
          <w:i/>
          <w:sz w:val="22"/>
          <w:szCs w:val="22"/>
          <w:lang w:val="en-GB" w:eastAsia="nl-BE"/>
        </w:rPr>
        <w:t>standards</w:t>
      </w:r>
      <w:r>
        <w:rPr>
          <w:rFonts w:ascii="Calibri" w:hAnsi="Calibri" w:cs="TT15Ct00"/>
          <w:i/>
          <w:sz w:val="22"/>
          <w:szCs w:val="22"/>
          <w:lang w:val="en-GB" w:eastAsia="nl-BE"/>
        </w:rPr>
        <w:t xml:space="preserve"> issued by the Institute and included in the register provided for this purpose.</w:t>
      </w:r>
    </w:p>
    <w:p w14:paraId="7B5E72EA" w14:textId="77777777" w:rsidR="005931B6" w:rsidRPr="0050675A"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sidRPr="0050675A">
        <w:rPr>
          <w:rFonts w:ascii="Calibri" w:hAnsi="Calibri" w:cs="TT15Ct00"/>
          <w:i/>
          <w:sz w:val="22"/>
          <w:szCs w:val="22"/>
          <w:u w:val="single"/>
          <w:lang w:val="en-GB" w:eastAsia="nl-BE"/>
        </w:rPr>
        <w:t xml:space="preserve">Article </w:t>
      </w:r>
      <w:r w:rsidR="005931B6" w:rsidRPr="0050675A">
        <w:rPr>
          <w:rFonts w:ascii="Calibri" w:hAnsi="Calibri" w:cs="TT15Ct00"/>
          <w:i/>
          <w:sz w:val="22"/>
          <w:szCs w:val="22"/>
          <w:u w:val="single"/>
          <w:lang w:val="en-GB" w:eastAsia="nl-BE"/>
        </w:rPr>
        <w:t>8</w:t>
      </w:r>
    </w:p>
    <w:p w14:paraId="57F80B62" w14:textId="2182EB99" w:rsidR="0050675A" w:rsidRPr="0050675A" w:rsidRDefault="0050675A"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 xml:space="preserve">The </w:t>
      </w:r>
      <w:r w:rsidRPr="0050675A">
        <w:rPr>
          <w:rFonts w:ascii="Calibri" w:hAnsi="Calibri" w:cs="TT15Ct00"/>
          <w:i/>
          <w:sz w:val="22"/>
          <w:szCs w:val="22"/>
          <w:lang w:val="en-GB" w:eastAsia="nl-BE"/>
        </w:rPr>
        <w:t xml:space="preserve">actuary </w:t>
      </w:r>
      <w:r>
        <w:rPr>
          <w:rFonts w:ascii="Calibri" w:hAnsi="Calibri" w:cs="TT15Ct00"/>
          <w:i/>
          <w:sz w:val="22"/>
          <w:szCs w:val="22"/>
          <w:lang w:val="en-GB" w:eastAsia="nl-BE"/>
        </w:rPr>
        <w:t>can be</w:t>
      </w:r>
      <w:r w:rsidRPr="0050675A">
        <w:rPr>
          <w:rFonts w:ascii="Calibri" w:hAnsi="Calibri" w:cs="TT15Ct00"/>
          <w:i/>
          <w:sz w:val="22"/>
          <w:szCs w:val="22"/>
          <w:lang w:val="en-GB" w:eastAsia="nl-BE"/>
        </w:rPr>
        <w:t xml:space="preserve"> subject to the disciplinary procedures prescribed in the rules of the </w:t>
      </w:r>
      <w:r>
        <w:rPr>
          <w:rFonts w:ascii="Calibri" w:hAnsi="Calibri" w:cs="TT15Ct00"/>
          <w:i/>
          <w:sz w:val="22"/>
          <w:szCs w:val="22"/>
          <w:lang w:val="en-GB" w:eastAsia="nl-BE"/>
        </w:rPr>
        <w:t>Institute</w:t>
      </w:r>
      <w:r w:rsidRPr="0050675A">
        <w:rPr>
          <w:rFonts w:ascii="Calibri" w:hAnsi="Calibri" w:cs="TT15Ct00"/>
          <w:i/>
          <w:sz w:val="22"/>
          <w:szCs w:val="22"/>
          <w:lang w:val="en-GB" w:eastAsia="nl-BE"/>
        </w:rPr>
        <w:t>, and, subject to the right of appeal within those rules, must accept any judgement passed, or the decision of any appeal procedure</w:t>
      </w:r>
    </w:p>
    <w:p w14:paraId="40FE53FC" w14:textId="77777777" w:rsidR="00415B74" w:rsidRPr="0050675A" w:rsidRDefault="00415B74" w:rsidP="002B10A3">
      <w:pPr>
        <w:tabs>
          <w:tab w:val="left" w:pos="1720"/>
        </w:tabs>
        <w:jc w:val="both"/>
        <w:rPr>
          <w:rFonts w:ascii="Calibri" w:hAnsi="Calibri"/>
          <w:b/>
          <w:sz w:val="22"/>
          <w:szCs w:val="22"/>
        </w:rPr>
      </w:pPr>
    </w:p>
    <w:p w14:paraId="77E8CD60" w14:textId="77777777" w:rsidR="002B10A3" w:rsidRPr="007409FA" w:rsidRDefault="00667AF8" w:rsidP="002B10A3">
      <w:pPr>
        <w:tabs>
          <w:tab w:val="left" w:pos="1720"/>
        </w:tabs>
        <w:jc w:val="both"/>
        <w:rPr>
          <w:rFonts w:ascii="Calibri" w:hAnsi="Calibri"/>
          <w:b/>
          <w:sz w:val="22"/>
          <w:szCs w:val="22"/>
          <w:lang w:val="nl-BE"/>
        </w:rPr>
      </w:pPr>
      <w:r>
        <w:rPr>
          <w:rFonts w:ascii="Calibri" w:hAnsi="Calibri"/>
          <w:b/>
          <w:sz w:val="22"/>
          <w:szCs w:val="22"/>
          <w:lang w:val="nl-BE"/>
        </w:rPr>
        <w:t>D. Impartiality</w:t>
      </w:r>
    </w:p>
    <w:p w14:paraId="391BCC1E" w14:textId="77777777" w:rsidR="002B10A3" w:rsidRPr="007409FA" w:rsidRDefault="002B10A3" w:rsidP="002B10A3">
      <w:pPr>
        <w:tabs>
          <w:tab w:val="left" w:pos="1720"/>
        </w:tabs>
        <w:jc w:val="both"/>
        <w:rPr>
          <w:rFonts w:ascii="Calibri" w:hAnsi="Calibri"/>
          <w:b/>
          <w:sz w:val="22"/>
          <w:szCs w:val="22"/>
          <w:lang w:val="nl-BE"/>
        </w:rPr>
      </w:pPr>
    </w:p>
    <w:p w14:paraId="7A7278A1" w14:textId="77777777" w:rsidR="005931B6" w:rsidRPr="005931B6"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nl-BE" w:eastAsia="nl-BE"/>
        </w:rPr>
      </w:pPr>
      <w:r>
        <w:rPr>
          <w:rFonts w:ascii="Calibri" w:hAnsi="Calibri" w:cs="TT15Ct00"/>
          <w:i/>
          <w:sz w:val="22"/>
          <w:szCs w:val="22"/>
          <w:u w:val="single"/>
          <w:lang w:val="nl-BE" w:eastAsia="nl-BE"/>
        </w:rPr>
        <w:t xml:space="preserve">Article </w:t>
      </w:r>
      <w:r w:rsidR="005931B6" w:rsidRPr="005931B6">
        <w:rPr>
          <w:rFonts w:ascii="Calibri" w:hAnsi="Calibri" w:cs="TT15Ct00"/>
          <w:i/>
          <w:sz w:val="22"/>
          <w:szCs w:val="22"/>
          <w:u w:val="single"/>
          <w:lang w:val="nl-BE" w:eastAsia="nl-BE"/>
        </w:rPr>
        <w:t>9</w:t>
      </w:r>
    </w:p>
    <w:p w14:paraId="5850BD37" w14:textId="33859128" w:rsidR="00D140D8" w:rsidRDefault="001F39AB"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The</w:t>
      </w:r>
      <w:r w:rsidR="00B2279C" w:rsidRPr="00B2279C">
        <w:rPr>
          <w:rFonts w:ascii="Calibri" w:hAnsi="Calibri" w:cs="TT15Ct00"/>
          <w:i/>
          <w:sz w:val="22"/>
          <w:szCs w:val="22"/>
          <w:lang w:val="en-GB" w:eastAsia="nl-BE"/>
        </w:rPr>
        <w:t xml:space="preserve"> actuary </w:t>
      </w:r>
      <w:r>
        <w:rPr>
          <w:rFonts w:ascii="Calibri" w:hAnsi="Calibri" w:cs="TT15Ct00"/>
          <w:i/>
          <w:sz w:val="22"/>
          <w:szCs w:val="22"/>
          <w:lang w:val="en-GB" w:eastAsia="nl-BE"/>
        </w:rPr>
        <w:t>will</w:t>
      </w:r>
      <w:r w:rsidR="00B2279C" w:rsidRPr="00B2279C">
        <w:rPr>
          <w:rFonts w:ascii="Calibri" w:hAnsi="Calibri" w:cs="TT15Ct00"/>
          <w:i/>
          <w:sz w:val="22"/>
          <w:szCs w:val="22"/>
          <w:lang w:val="en-GB" w:eastAsia="nl-BE"/>
        </w:rPr>
        <w:t xml:space="preserve"> not perform professional services involving an actual or potential conflict of interest, unless the actuary’s ability to act in an impartial manner is unimpaired and there has been full disclosure to the principal of the actual or potential conflict or bias.</w:t>
      </w:r>
    </w:p>
    <w:p w14:paraId="261E7929" w14:textId="77777777" w:rsidR="001F39AB" w:rsidRPr="00B2279C" w:rsidRDefault="001F39AB"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highlight w:val="yellow"/>
          <w:lang w:val="en-GB" w:eastAsia="nl-BE"/>
        </w:rPr>
      </w:pPr>
    </w:p>
    <w:p w14:paraId="2A3240BC" w14:textId="70F1D983" w:rsidR="005931B6" w:rsidRDefault="00667AF8" w:rsidP="005931B6">
      <w:pPr>
        <w:tabs>
          <w:tab w:val="left" w:pos="1720"/>
        </w:tabs>
        <w:jc w:val="both"/>
        <w:rPr>
          <w:rFonts w:ascii="Calibri" w:hAnsi="Calibri"/>
          <w:b/>
          <w:sz w:val="22"/>
          <w:szCs w:val="22"/>
          <w:lang w:val="nl-BE"/>
        </w:rPr>
      </w:pPr>
      <w:r>
        <w:rPr>
          <w:rFonts w:ascii="Calibri" w:hAnsi="Calibri"/>
          <w:b/>
          <w:sz w:val="22"/>
          <w:szCs w:val="22"/>
          <w:lang w:val="nl-BE"/>
        </w:rPr>
        <w:t>E. Communicatio</w:t>
      </w:r>
      <w:r w:rsidR="00D140D8">
        <w:rPr>
          <w:rFonts w:ascii="Calibri" w:hAnsi="Calibri"/>
          <w:b/>
          <w:sz w:val="22"/>
          <w:szCs w:val="22"/>
          <w:lang w:val="nl-BE"/>
        </w:rPr>
        <w:t>n</w:t>
      </w:r>
    </w:p>
    <w:p w14:paraId="64EA3593" w14:textId="77777777" w:rsidR="005931B6" w:rsidRDefault="005931B6" w:rsidP="005931B6">
      <w:pPr>
        <w:tabs>
          <w:tab w:val="left" w:pos="1720"/>
        </w:tabs>
        <w:jc w:val="both"/>
        <w:rPr>
          <w:rFonts w:ascii="Calibri" w:hAnsi="Calibri"/>
          <w:b/>
          <w:sz w:val="22"/>
          <w:szCs w:val="22"/>
          <w:lang w:val="nl-BE"/>
        </w:rPr>
      </w:pPr>
    </w:p>
    <w:p w14:paraId="08163AF9" w14:textId="77777777" w:rsidR="005931B6" w:rsidRPr="005931B6"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val="nl-BE" w:eastAsia="nl-BE"/>
        </w:rPr>
      </w:pPr>
      <w:r>
        <w:rPr>
          <w:rFonts w:ascii="Calibri" w:hAnsi="Calibri" w:cs="TT15Ct00"/>
          <w:i/>
          <w:sz w:val="22"/>
          <w:szCs w:val="22"/>
          <w:u w:val="single"/>
          <w:lang w:val="nl-BE" w:eastAsia="nl-BE"/>
        </w:rPr>
        <w:t xml:space="preserve">Article </w:t>
      </w:r>
      <w:r w:rsidR="005931B6" w:rsidRPr="005931B6">
        <w:rPr>
          <w:rFonts w:ascii="Calibri" w:hAnsi="Calibri" w:cs="TT15Ct00"/>
          <w:i/>
          <w:sz w:val="22"/>
          <w:szCs w:val="22"/>
          <w:u w:val="single"/>
          <w:lang w:val="nl-BE" w:eastAsia="nl-BE"/>
        </w:rPr>
        <w:t>10</w:t>
      </w:r>
    </w:p>
    <w:p w14:paraId="38F64681" w14:textId="544B0ABD" w:rsidR="002E7CF9" w:rsidRDefault="00600B67"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I</w:t>
      </w:r>
      <w:r w:rsidRPr="00600B67">
        <w:rPr>
          <w:rFonts w:ascii="Calibri" w:hAnsi="Calibri" w:cs="TT15Ct00"/>
          <w:i/>
          <w:sz w:val="22"/>
          <w:szCs w:val="22"/>
          <w:lang w:val="en-GB" w:eastAsia="nl-BE"/>
        </w:rPr>
        <w:t>n communicating the results of professional services</w:t>
      </w:r>
      <w:r>
        <w:rPr>
          <w:rFonts w:ascii="Calibri" w:hAnsi="Calibri" w:cs="TT15Ct00"/>
          <w:i/>
          <w:sz w:val="22"/>
          <w:szCs w:val="22"/>
          <w:lang w:val="en-GB" w:eastAsia="nl-BE"/>
        </w:rPr>
        <w:t xml:space="preserve">, the actuary must </w:t>
      </w:r>
      <w:r w:rsidR="002551C0">
        <w:rPr>
          <w:rFonts w:ascii="Calibri" w:hAnsi="Calibri" w:cs="TT15Ct00"/>
          <w:i/>
          <w:sz w:val="22"/>
          <w:szCs w:val="22"/>
          <w:lang w:val="en-GB" w:eastAsia="nl-BE"/>
        </w:rPr>
        <w:t xml:space="preserve">clearly state that he </w:t>
      </w:r>
      <w:r w:rsidR="002551C0" w:rsidRPr="002551C0">
        <w:rPr>
          <w:rFonts w:ascii="Calibri" w:hAnsi="Calibri" w:cs="TT15Ct00"/>
          <w:i/>
          <w:sz w:val="22"/>
          <w:szCs w:val="22"/>
          <w:lang w:val="en-GB" w:eastAsia="nl-BE"/>
        </w:rPr>
        <w:t xml:space="preserve">takes </w:t>
      </w:r>
      <w:r w:rsidR="002551C0">
        <w:rPr>
          <w:rFonts w:ascii="Calibri" w:hAnsi="Calibri" w:cs="TT15Ct00"/>
          <w:i/>
          <w:sz w:val="22"/>
          <w:szCs w:val="22"/>
          <w:lang w:val="en-GB" w:eastAsia="nl-BE"/>
        </w:rPr>
        <w:t xml:space="preserve">professional </w:t>
      </w:r>
      <w:r w:rsidR="002551C0" w:rsidRPr="002551C0">
        <w:rPr>
          <w:rFonts w:ascii="Calibri" w:hAnsi="Calibri" w:cs="TT15Ct00"/>
          <w:i/>
          <w:sz w:val="22"/>
          <w:szCs w:val="22"/>
          <w:lang w:val="en-GB" w:eastAsia="nl-BE"/>
        </w:rPr>
        <w:t>responsibility for the results</w:t>
      </w:r>
      <w:r w:rsidR="002551C0">
        <w:rPr>
          <w:rFonts w:ascii="Calibri" w:hAnsi="Calibri" w:cs="TT15Ct00"/>
          <w:i/>
          <w:sz w:val="22"/>
          <w:szCs w:val="22"/>
          <w:lang w:val="en-GB" w:eastAsia="nl-BE"/>
        </w:rPr>
        <w:t xml:space="preserve"> and that he is prepared to give, in writing and accurately, supplementary explanation and information which would be required by the employer or client regarding the performed analysis, the date (or data source) and the methods used.</w:t>
      </w:r>
    </w:p>
    <w:p w14:paraId="6F83B578" w14:textId="77777777" w:rsidR="005931B6" w:rsidRPr="0086419E" w:rsidRDefault="00667AF8" w:rsidP="005931B6">
      <w:pPr>
        <w:pStyle w:val="ListParagraph"/>
        <w:autoSpaceDE w:val="0"/>
        <w:autoSpaceDN w:val="0"/>
        <w:adjustRightInd w:val="0"/>
        <w:spacing w:after="120" w:line="240" w:lineRule="atLeast"/>
        <w:ind w:left="0"/>
        <w:contextualSpacing w:val="0"/>
        <w:jc w:val="both"/>
        <w:rPr>
          <w:rFonts w:ascii="Calibri" w:hAnsi="Calibri" w:cs="TT15Ct00"/>
          <w:i/>
          <w:sz w:val="22"/>
          <w:szCs w:val="22"/>
          <w:u w:val="single"/>
          <w:lang w:eastAsia="nl-BE"/>
        </w:rPr>
      </w:pPr>
      <w:bookmarkStart w:id="1" w:name="_GoBack"/>
      <w:bookmarkEnd w:id="1"/>
      <w:r w:rsidRPr="0086419E">
        <w:rPr>
          <w:rFonts w:ascii="Calibri" w:hAnsi="Calibri" w:cs="TT15Ct00"/>
          <w:i/>
          <w:sz w:val="22"/>
          <w:szCs w:val="22"/>
          <w:u w:val="single"/>
          <w:lang w:eastAsia="nl-BE"/>
        </w:rPr>
        <w:t xml:space="preserve">Article </w:t>
      </w:r>
      <w:r w:rsidR="005931B6" w:rsidRPr="0086419E">
        <w:rPr>
          <w:rFonts w:ascii="Calibri" w:hAnsi="Calibri" w:cs="TT15Ct00"/>
          <w:i/>
          <w:sz w:val="22"/>
          <w:szCs w:val="22"/>
          <w:u w:val="single"/>
          <w:lang w:eastAsia="nl-BE"/>
        </w:rPr>
        <w:t>11</w:t>
      </w:r>
    </w:p>
    <w:p w14:paraId="41579917" w14:textId="0FA87E5D" w:rsidR="0086419E" w:rsidRDefault="0086419E" w:rsidP="002A6B12">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r>
        <w:rPr>
          <w:rFonts w:ascii="Calibri" w:hAnsi="Calibri" w:cs="TT15Ct00"/>
          <w:i/>
          <w:sz w:val="22"/>
          <w:szCs w:val="22"/>
          <w:lang w:val="en-GB" w:eastAsia="nl-BE"/>
        </w:rPr>
        <w:t>The actuary will clearly identify the intended client or employer of his work and state the capacity in which he is acting.</w:t>
      </w:r>
    </w:p>
    <w:p w14:paraId="2AD5B9BA" w14:textId="763E4B7E" w:rsidR="00D501B8" w:rsidRPr="0086419E" w:rsidRDefault="00D501B8" w:rsidP="002A6B12">
      <w:pPr>
        <w:pStyle w:val="ListParagraph"/>
        <w:autoSpaceDE w:val="0"/>
        <w:autoSpaceDN w:val="0"/>
        <w:adjustRightInd w:val="0"/>
        <w:spacing w:after="120" w:line="240" w:lineRule="atLeast"/>
        <w:ind w:left="0"/>
        <w:contextualSpacing w:val="0"/>
        <w:jc w:val="both"/>
        <w:rPr>
          <w:rFonts w:ascii="Calibri" w:hAnsi="Calibri" w:cs="TT15Ct00"/>
          <w:i/>
          <w:sz w:val="22"/>
          <w:szCs w:val="22"/>
          <w:lang w:val="en-GB" w:eastAsia="nl-BE"/>
        </w:rPr>
      </w:pPr>
    </w:p>
    <w:sectPr w:rsidR="00D501B8" w:rsidRPr="008641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7064" w14:textId="77777777" w:rsidR="008F5F6A" w:rsidRDefault="008F5F6A" w:rsidP="009423E2">
      <w:r>
        <w:separator/>
      </w:r>
    </w:p>
  </w:endnote>
  <w:endnote w:type="continuationSeparator" w:id="0">
    <w:p w14:paraId="57C450B4" w14:textId="77777777" w:rsidR="008F5F6A" w:rsidRDefault="008F5F6A" w:rsidP="0094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C8AD" w14:textId="77777777" w:rsidR="008F5F6A" w:rsidRDefault="008F5F6A" w:rsidP="009423E2">
      <w:r>
        <w:separator/>
      </w:r>
    </w:p>
  </w:footnote>
  <w:footnote w:type="continuationSeparator" w:id="0">
    <w:p w14:paraId="2FDE205E" w14:textId="77777777" w:rsidR="008F5F6A" w:rsidRDefault="008F5F6A" w:rsidP="009423E2">
      <w:r>
        <w:continuationSeparator/>
      </w:r>
    </w:p>
  </w:footnote>
  <w:footnote w:id="1">
    <w:p w14:paraId="15C34A25" w14:textId="77777777" w:rsidR="009423E2" w:rsidRPr="009423E2" w:rsidRDefault="009423E2" w:rsidP="008E242C">
      <w:pPr>
        <w:pStyle w:val="FootnoteText"/>
        <w:jc w:val="both"/>
        <w:rPr>
          <w:lang w:val="en-GB"/>
        </w:rPr>
      </w:pPr>
      <w:r>
        <w:rPr>
          <w:rStyle w:val="FootnoteReference"/>
        </w:rPr>
        <w:footnoteRef/>
      </w:r>
      <w:r w:rsidRPr="009423E2">
        <w:rPr>
          <w:lang w:val="en-GB"/>
        </w:rPr>
        <w:t xml:space="preserve"> Code of Professional Conduct; Common Principles of Ethica</w:t>
      </w:r>
      <w:r>
        <w:rPr>
          <w:lang w:val="en-GB"/>
        </w:rPr>
        <w:t>l and Professional Behaviour accepted by the Actuarial Associations affiliated to the Actuarial Association of Europe; Adopted by the General Assembly of the Actuarial Association of Europe on 22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6F6D"/>
    <w:multiLevelType w:val="hybridMultilevel"/>
    <w:tmpl w:val="CAFE209C"/>
    <w:lvl w:ilvl="0" w:tplc="600285C8">
      <w:start w:val="1"/>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6276C63"/>
    <w:multiLevelType w:val="hybridMultilevel"/>
    <w:tmpl w:val="AC665D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76143D9"/>
    <w:multiLevelType w:val="hybridMultilevel"/>
    <w:tmpl w:val="A07C21A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6A58796F"/>
    <w:multiLevelType w:val="hybridMultilevel"/>
    <w:tmpl w:val="7FCE8EA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0A3"/>
    <w:rsid w:val="000712C5"/>
    <w:rsid w:val="00072872"/>
    <w:rsid w:val="000B7E5E"/>
    <w:rsid w:val="00132286"/>
    <w:rsid w:val="001F39AB"/>
    <w:rsid w:val="002551C0"/>
    <w:rsid w:val="002A6B12"/>
    <w:rsid w:val="002B10A3"/>
    <w:rsid w:val="002E7CF9"/>
    <w:rsid w:val="00391410"/>
    <w:rsid w:val="003E6E7E"/>
    <w:rsid w:val="00415B74"/>
    <w:rsid w:val="00430ABD"/>
    <w:rsid w:val="00454463"/>
    <w:rsid w:val="00457F30"/>
    <w:rsid w:val="0047731B"/>
    <w:rsid w:val="00494E6A"/>
    <w:rsid w:val="004B5397"/>
    <w:rsid w:val="0050675A"/>
    <w:rsid w:val="0052680D"/>
    <w:rsid w:val="005931B6"/>
    <w:rsid w:val="005A0985"/>
    <w:rsid w:val="00600B67"/>
    <w:rsid w:val="00667AF8"/>
    <w:rsid w:val="00810552"/>
    <w:rsid w:val="0082560F"/>
    <w:rsid w:val="0086419E"/>
    <w:rsid w:val="008911A2"/>
    <w:rsid w:val="008E242C"/>
    <w:rsid w:val="008F5F6A"/>
    <w:rsid w:val="009353B2"/>
    <w:rsid w:val="009423E2"/>
    <w:rsid w:val="009A30A6"/>
    <w:rsid w:val="00A20691"/>
    <w:rsid w:val="00B02A61"/>
    <w:rsid w:val="00B07BC1"/>
    <w:rsid w:val="00B15070"/>
    <w:rsid w:val="00B2279C"/>
    <w:rsid w:val="00B7403C"/>
    <w:rsid w:val="00C00F41"/>
    <w:rsid w:val="00C8320E"/>
    <w:rsid w:val="00C87324"/>
    <w:rsid w:val="00C93335"/>
    <w:rsid w:val="00CF455B"/>
    <w:rsid w:val="00D140D8"/>
    <w:rsid w:val="00D501B8"/>
    <w:rsid w:val="00DA5800"/>
    <w:rsid w:val="00DB4740"/>
    <w:rsid w:val="00F67D59"/>
    <w:rsid w:val="00FF38E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498A"/>
  <w15:docId w15:val="{0BADC1E7-DE92-417E-B714-EFEDCA3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A3"/>
    <w:pPr>
      <w:spacing w:after="0" w:line="240" w:lineRule="auto"/>
    </w:pPr>
    <w:rPr>
      <w:rFonts w:ascii="Times New Roman" w:eastAsia="Times New Roman" w:hAnsi="Times New Roman" w:cs="Times New Roman"/>
      <w:sz w:val="24"/>
      <w:szCs w:val="24"/>
      <w:lang w:val="fr-BE" w:eastAsia="nl-NL"/>
    </w:rPr>
  </w:style>
  <w:style w:type="paragraph" w:styleId="Heading2">
    <w:name w:val="heading 2"/>
    <w:basedOn w:val="Normal"/>
    <w:next w:val="Normal"/>
    <w:link w:val="Heading2Char"/>
    <w:uiPriority w:val="9"/>
    <w:semiHidden/>
    <w:unhideWhenUsed/>
    <w:qFormat/>
    <w:rsid w:val="00D501B8"/>
    <w:pPr>
      <w:keepNext/>
      <w:keepLines/>
      <w:spacing w:before="200"/>
      <w:outlineLvl w:val="1"/>
    </w:pPr>
    <w:rPr>
      <w:rFonts w:asciiTheme="majorHAnsi" w:eastAsiaTheme="majorEastAsia" w:hAnsiTheme="majorHAnsi" w:cstheme="majorBidi"/>
      <w:b/>
      <w:bCs/>
      <w:color w:val="4F81BD" w:themeColor="accent1"/>
      <w:sz w:val="26"/>
      <w:szCs w:val="26"/>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A3"/>
    <w:pPr>
      <w:ind w:left="720"/>
      <w:contextualSpacing/>
    </w:pPr>
  </w:style>
  <w:style w:type="character" w:customStyle="1" w:styleId="Heading2Char">
    <w:name w:val="Heading 2 Char"/>
    <w:basedOn w:val="DefaultParagraphFont"/>
    <w:link w:val="Heading2"/>
    <w:uiPriority w:val="9"/>
    <w:semiHidden/>
    <w:rsid w:val="00D501B8"/>
    <w:rPr>
      <w:rFonts w:asciiTheme="majorHAnsi" w:eastAsiaTheme="majorEastAsia" w:hAnsiTheme="majorHAnsi" w:cstheme="majorBidi"/>
      <w:b/>
      <w:bCs/>
      <w:color w:val="4F81BD" w:themeColor="accent1"/>
      <w:sz w:val="26"/>
      <w:szCs w:val="26"/>
      <w:lang w:val="nl-NL"/>
    </w:rPr>
  </w:style>
  <w:style w:type="paragraph" w:styleId="HTMLPreformatted">
    <w:name w:val="HTML Preformatted"/>
    <w:basedOn w:val="Normal"/>
    <w:link w:val="HTMLPreformattedChar"/>
    <w:uiPriority w:val="99"/>
    <w:semiHidden/>
    <w:unhideWhenUsed/>
    <w:rsid w:val="00D5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val="nl-NL" w:eastAsia="en-US"/>
    </w:rPr>
  </w:style>
  <w:style w:type="character" w:customStyle="1" w:styleId="HTMLPreformattedChar">
    <w:name w:val="HTML Preformatted Char"/>
    <w:basedOn w:val="DefaultParagraphFont"/>
    <w:link w:val="HTMLPreformatted"/>
    <w:uiPriority w:val="99"/>
    <w:semiHidden/>
    <w:rsid w:val="00D501B8"/>
    <w:rPr>
      <w:rFonts w:ascii="Consolas" w:hAnsi="Consolas"/>
      <w:sz w:val="20"/>
      <w:szCs w:val="20"/>
      <w:lang w:val="nl-NL"/>
    </w:rPr>
  </w:style>
  <w:style w:type="paragraph" w:styleId="CommentText">
    <w:name w:val="annotation text"/>
    <w:basedOn w:val="Normal"/>
    <w:link w:val="CommentTextChar"/>
    <w:uiPriority w:val="99"/>
    <w:semiHidden/>
    <w:unhideWhenUsed/>
    <w:rsid w:val="00D501B8"/>
    <w:rPr>
      <w:rFonts w:asciiTheme="minorHAnsi" w:eastAsiaTheme="minorHAnsi" w:hAnsiTheme="minorHAnsi" w:cstheme="minorBidi"/>
      <w:sz w:val="20"/>
      <w:szCs w:val="20"/>
      <w:lang w:val="nl-NL" w:eastAsia="en-US"/>
    </w:rPr>
  </w:style>
  <w:style w:type="character" w:customStyle="1" w:styleId="CommentTextChar">
    <w:name w:val="Comment Text Char"/>
    <w:basedOn w:val="DefaultParagraphFont"/>
    <w:link w:val="CommentText"/>
    <w:uiPriority w:val="99"/>
    <w:semiHidden/>
    <w:rsid w:val="00D501B8"/>
    <w:rPr>
      <w:sz w:val="20"/>
      <w:szCs w:val="20"/>
      <w:lang w:val="nl-NL"/>
    </w:rPr>
  </w:style>
  <w:style w:type="character" w:styleId="CommentReference">
    <w:name w:val="annotation reference"/>
    <w:basedOn w:val="DefaultParagraphFont"/>
    <w:uiPriority w:val="99"/>
    <w:semiHidden/>
    <w:unhideWhenUsed/>
    <w:rsid w:val="00D501B8"/>
    <w:rPr>
      <w:sz w:val="16"/>
      <w:szCs w:val="16"/>
    </w:rPr>
  </w:style>
  <w:style w:type="paragraph" w:styleId="BalloonText">
    <w:name w:val="Balloon Text"/>
    <w:basedOn w:val="Normal"/>
    <w:link w:val="BalloonTextChar"/>
    <w:uiPriority w:val="99"/>
    <w:semiHidden/>
    <w:unhideWhenUsed/>
    <w:rsid w:val="00D501B8"/>
    <w:rPr>
      <w:rFonts w:ascii="Tahoma" w:hAnsi="Tahoma" w:cs="Tahoma"/>
      <w:sz w:val="16"/>
      <w:szCs w:val="16"/>
    </w:rPr>
  </w:style>
  <w:style w:type="character" w:customStyle="1" w:styleId="BalloonTextChar">
    <w:name w:val="Balloon Text Char"/>
    <w:basedOn w:val="DefaultParagraphFont"/>
    <w:link w:val="BalloonText"/>
    <w:uiPriority w:val="99"/>
    <w:semiHidden/>
    <w:rsid w:val="00D501B8"/>
    <w:rPr>
      <w:rFonts w:ascii="Tahoma" w:eastAsia="Times New Roman" w:hAnsi="Tahoma" w:cs="Tahoma"/>
      <w:sz w:val="16"/>
      <w:szCs w:val="16"/>
      <w:lang w:val="fr-BE" w:eastAsia="nl-NL"/>
    </w:rPr>
  </w:style>
  <w:style w:type="paragraph" w:styleId="FootnoteText">
    <w:name w:val="footnote text"/>
    <w:basedOn w:val="Normal"/>
    <w:link w:val="FootnoteTextChar"/>
    <w:uiPriority w:val="99"/>
    <w:semiHidden/>
    <w:unhideWhenUsed/>
    <w:rsid w:val="009423E2"/>
    <w:rPr>
      <w:sz w:val="20"/>
      <w:szCs w:val="20"/>
    </w:rPr>
  </w:style>
  <w:style w:type="character" w:customStyle="1" w:styleId="FootnoteTextChar">
    <w:name w:val="Footnote Text Char"/>
    <w:basedOn w:val="DefaultParagraphFont"/>
    <w:link w:val="FootnoteText"/>
    <w:uiPriority w:val="99"/>
    <w:semiHidden/>
    <w:rsid w:val="009423E2"/>
    <w:rPr>
      <w:rFonts w:ascii="Times New Roman" w:eastAsia="Times New Roman" w:hAnsi="Times New Roman" w:cs="Times New Roman"/>
      <w:sz w:val="20"/>
      <w:szCs w:val="20"/>
      <w:lang w:val="fr-BE" w:eastAsia="nl-NL"/>
    </w:rPr>
  </w:style>
  <w:style w:type="character" w:styleId="FootnoteReference">
    <w:name w:val="footnote reference"/>
    <w:basedOn w:val="DefaultParagraphFont"/>
    <w:uiPriority w:val="99"/>
    <w:semiHidden/>
    <w:unhideWhenUsed/>
    <w:rsid w:val="00942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C9EB-C443-4A25-B0CE-A57E18BB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478</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Cécile Adams</cp:lastModifiedBy>
  <cp:revision>26</cp:revision>
  <cp:lastPrinted>2020-02-27T14:15:00Z</cp:lastPrinted>
  <dcterms:created xsi:type="dcterms:W3CDTF">2020-03-06T13:55:00Z</dcterms:created>
  <dcterms:modified xsi:type="dcterms:W3CDTF">2020-03-17T08:08:00Z</dcterms:modified>
</cp:coreProperties>
</file>