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7EEE" w14:textId="53468295" w:rsidR="00E22129" w:rsidRDefault="00100BB9" w:rsidP="002C3888">
      <w:pPr>
        <w:pStyle w:val="Titel"/>
      </w:pPr>
      <w:bookmarkStart w:id="0" w:name="_GoBack"/>
      <w:bookmarkEnd w:id="0"/>
      <w:r>
        <w:t xml:space="preserve">Annual </w:t>
      </w:r>
      <w:r w:rsidR="00465DCE">
        <w:t>Actuarial Function</w:t>
      </w:r>
      <w:r>
        <w:t xml:space="preserve"> Activity</w:t>
      </w:r>
      <w:r w:rsidR="00465DCE">
        <w:t xml:space="preserve"> Report </w:t>
      </w:r>
      <w:r w:rsidR="00A8759B">
        <w:t>YYYY</w:t>
      </w:r>
    </w:p>
    <w:p w14:paraId="137C2FB4" w14:textId="7E319EFC" w:rsidR="00A8759B" w:rsidRDefault="00A05469" w:rsidP="00A8759B">
      <w:pPr>
        <w:rPr>
          <w:rStyle w:val="Subtielebenadrukking"/>
        </w:rPr>
      </w:pPr>
      <w:r>
        <w:rPr>
          <w:rStyle w:val="Subtielebenadrukking"/>
        </w:rPr>
        <w:t xml:space="preserve">Version </w:t>
      </w:r>
      <w:r w:rsidR="00A13F8F">
        <w:rPr>
          <w:rStyle w:val="Subtielebenadrukking"/>
        </w:rPr>
        <w:t>3</w:t>
      </w:r>
      <w:r w:rsidR="006E4A1A">
        <w:rPr>
          <w:rStyle w:val="Subtielebenadrukking"/>
        </w:rPr>
        <w:t>.</w:t>
      </w:r>
      <w:r w:rsidR="00A13F8F">
        <w:rPr>
          <w:rStyle w:val="Subtielebenadrukking"/>
        </w:rPr>
        <w:t>0</w:t>
      </w:r>
      <w:r w:rsidR="00A1192D" w:rsidRPr="00A8759B">
        <w:rPr>
          <w:rStyle w:val="Subtielebenadrukking"/>
        </w:rPr>
        <w:t xml:space="preserve"> </w:t>
      </w:r>
      <w:r w:rsidR="006450BE">
        <w:rPr>
          <w:rStyle w:val="Subtielebenadrukking"/>
        </w:rPr>
        <w:t xml:space="preserve">– </w:t>
      </w:r>
      <w:r w:rsidR="00A13F8F">
        <w:rPr>
          <w:rStyle w:val="Subtielebenadrukking"/>
        </w:rPr>
        <w:t>Final version</w:t>
      </w:r>
    </w:p>
    <w:p w14:paraId="1E3ECB8F" w14:textId="6A1FC45C" w:rsidR="0089156C" w:rsidRDefault="0089156C" w:rsidP="0089156C"/>
    <w:p w14:paraId="5FBCE5A5" w14:textId="7B1BBC73" w:rsidR="008C0E36" w:rsidRPr="00A13F8F" w:rsidRDefault="008C0E36" w:rsidP="0089156C">
      <w:pPr>
        <w:rPr>
          <w:lang w:val="nl-NL"/>
        </w:rPr>
      </w:pPr>
      <w:proofErr w:type="spellStart"/>
      <w:r w:rsidRPr="00A13F8F">
        <w:rPr>
          <w:b/>
          <w:bCs/>
          <w:u w:val="single"/>
          <w:lang w:val="nl-NL"/>
        </w:rPr>
        <w:t>Working</w:t>
      </w:r>
      <w:proofErr w:type="spellEnd"/>
      <w:r w:rsidRPr="00A13F8F">
        <w:rPr>
          <w:b/>
          <w:bCs/>
          <w:u w:val="single"/>
          <w:lang w:val="nl-NL"/>
        </w:rPr>
        <w:t xml:space="preserve"> </w:t>
      </w:r>
      <w:proofErr w:type="spellStart"/>
      <w:r w:rsidRPr="00A13F8F">
        <w:rPr>
          <w:b/>
          <w:bCs/>
          <w:u w:val="single"/>
          <w:lang w:val="nl-NL"/>
        </w:rPr>
        <w:t>group</w:t>
      </w:r>
      <w:proofErr w:type="spellEnd"/>
      <w:r w:rsidRPr="00A13F8F">
        <w:rPr>
          <w:b/>
          <w:bCs/>
          <w:u w:val="single"/>
          <w:lang w:val="nl-NL"/>
        </w:rPr>
        <w:t xml:space="preserve"> members:</w:t>
      </w:r>
      <w:r w:rsidRPr="00A13F8F">
        <w:rPr>
          <w:lang w:val="nl-NL"/>
        </w:rPr>
        <w:t xml:space="preserve"> R. </w:t>
      </w:r>
      <w:proofErr w:type="spellStart"/>
      <w:r w:rsidRPr="00A13F8F">
        <w:rPr>
          <w:lang w:val="nl-NL"/>
        </w:rPr>
        <w:t>Bou</w:t>
      </w:r>
      <w:proofErr w:type="spellEnd"/>
      <w:r w:rsidRPr="00A13F8F">
        <w:rPr>
          <w:lang w:val="nl-NL"/>
        </w:rPr>
        <w:t xml:space="preserve"> </w:t>
      </w:r>
      <w:proofErr w:type="spellStart"/>
      <w:r w:rsidRPr="00A13F8F">
        <w:rPr>
          <w:lang w:val="nl-NL"/>
        </w:rPr>
        <w:t>Harb</w:t>
      </w:r>
      <w:proofErr w:type="spellEnd"/>
      <w:r w:rsidRPr="00A13F8F">
        <w:rPr>
          <w:lang w:val="nl-NL"/>
        </w:rPr>
        <w:t xml:space="preserve">; L. </w:t>
      </w:r>
      <w:proofErr w:type="spellStart"/>
      <w:r w:rsidRPr="00A13F8F">
        <w:rPr>
          <w:lang w:val="nl-NL"/>
        </w:rPr>
        <w:t>Cornaert</w:t>
      </w:r>
      <w:proofErr w:type="spellEnd"/>
      <w:r w:rsidRPr="00A13F8F">
        <w:rPr>
          <w:lang w:val="nl-NL"/>
        </w:rPr>
        <w:t xml:space="preserve">; </w:t>
      </w:r>
      <w:r w:rsidR="00915F21" w:rsidRPr="00A13F8F">
        <w:rPr>
          <w:lang w:val="nl-NL"/>
        </w:rPr>
        <w:t xml:space="preserve">H. </w:t>
      </w:r>
      <w:proofErr w:type="spellStart"/>
      <w:r w:rsidR="00915F21" w:rsidRPr="00A13F8F">
        <w:rPr>
          <w:lang w:val="nl-NL"/>
        </w:rPr>
        <w:t>Crick</w:t>
      </w:r>
      <w:proofErr w:type="spellEnd"/>
      <w:r w:rsidR="00915F21" w:rsidRPr="00A13F8F">
        <w:rPr>
          <w:lang w:val="nl-NL"/>
        </w:rPr>
        <w:t xml:space="preserve">; </w:t>
      </w:r>
      <w:r w:rsidRPr="00A13F8F">
        <w:rPr>
          <w:lang w:val="nl-NL"/>
        </w:rPr>
        <w:t xml:space="preserve">J-C de Pooter; K. Everaert; H. Herbots; F. </w:t>
      </w:r>
      <w:proofErr w:type="spellStart"/>
      <w:r w:rsidRPr="00A13F8F">
        <w:rPr>
          <w:lang w:val="nl-NL"/>
        </w:rPr>
        <w:t>Inghelbrecht</w:t>
      </w:r>
      <w:proofErr w:type="spellEnd"/>
      <w:r w:rsidRPr="00A13F8F">
        <w:rPr>
          <w:lang w:val="nl-NL"/>
        </w:rPr>
        <w:t xml:space="preserve">; J. </w:t>
      </w:r>
      <w:proofErr w:type="spellStart"/>
      <w:r w:rsidRPr="00A13F8F">
        <w:rPr>
          <w:lang w:val="nl-NL"/>
        </w:rPr>
        <w:t>Lokasso</w:t>
      </w:r>
      <w:proofErr w:type="spellEnd"/>
      <w:r w:rsidRPr="00A13F8F">
        <w:rPr>
          <w:lang w:val="nl-NL"/>
        </w:rPr>
        <w:t xml:space="preserve">; B. Loonbeek; A. </w:t>
      </w:r>
      <w:proofErr w:type="spellStart"/>
      <w:r w:rsidRPr="00A13F8F">
        <w:rPr>
          <w:lang w:val="nl-NL"/>
        </w:rPr>
        <w:t>Loualidi</w:t>
      </w:r>
      <w:proofErr w:type="spellEnd"/>
      <w:r w:rsidRPr="00A13F8F">
        <w:rPr>
          <w:lang w:val="nl-NL"/>
        </w:rPr>
        <w:t xml:space="preserve">; G. </w:t>
      </w:r>
      <w:proofErr w:type="spellStart"/>
      <w:r w:rsidRPr="00A13F8F">
        <w:rPr>
          <w:lang w:val="nl-NL"/>
        </w:rPr>
        <w:t>Nyssen</w:t>
      </w:r>
      <w:proofErr w:type="spellEnd"/>
      <w:r w:rsidRPr="00A13F8F">
        <w:rPr>
          <w:lang w:val="nl-NL"/>
        </w:rPr>
        <w:t xml:space="preserve">; </w:t>
      </w:r>
      <w:r w:rsidR="00CF6311" w:rsidRPr="00A13F8F">
        <w:rPr>
          <w:lang w:val="nl-NL"/>
        </w:rPr>
        <w:t xml:space="preserve">V. </w:t>
      </w:r>
      <w:proofErr w:type="spellStart"/>
      <w:r w:rsidR="00CF6311" w:rsidRPr="00A13F8F">
        <w:rPr>
          <w:lang w:val="nl-NL"/>
        </w:rPr>
        <w:t>Tellier</w:t>
      </w:r>
      <w:proofErr w:type="spellEnd"/>
      <w:r w:rsidR="00CF6311" w:rsidRPr="00A13F8F">
        <w:rPr>
          <w:lang w:val="nl-NL"/>
        </w:rPr>
        <w:t>;</w:t>
      </w:r>
      <w:r w:rsidRPr="00A13F8F">
        <w:rPr>
          <w:lang w:val="nl-NL"/>
        </w:rPr>
        <w:t xml:space="preserve"> G. Vandenbosch; T. </w:t>
      </w:r>
      <w:proofErr w:type="spellStart"/>
      <w:r w:rsidRPr="00A13F8F">
        <w:rPr>
          <w:lang w:val="nl-NL"/>
        </w:rPr>
        <w:t>Vanhecke</w:t>
      </w:r>
      <w:proofErr w:type="spellEnd"/>
    </w:p>
    <w:p w14:paraId="4623F8E1" w14:textId="6547103F" w:rsidR="008C0E36" w:rsidRPr="00A13F8F" w:rsidRDefault="008C0E36" w:rsidP="0089156C">
      <w:pPr>
        <w:rPr>
          <w:lang w:val="nl-NL"/>
        </w:rPr>
      </w:pPr>
    </w:p>
    <w:p w14:paraId="72473A31" w14:textId="05690AF2" w:rsidR="004C2657" w:rsidRPr="004C2657" w:rsidRDefault="004C2657" w:rsidP="0089156C">
      <w:r>
        <w:rPr>
          <w:b/>
          <w:bCs/>
          <w:u w:val="single"/>
          <w:lang w:val="en-GB"/>
        </w:rPr>
        <w:t>Date of validation by the group members:</w:t>
      </w:r>
      <w:r>
        <w:rPr>
          <w:lang w:val="en-GB"/>
        </w:rPr>
        <w:t xml:space="preserve"> </w:t>
      </w:r>
      <w:r w:rsidR="00A13F8F">
        <w:rPr>
          <w:lang w:val="en-GB"/>
        </w:rPr>
        <w:t>13</w:t>
      </w:r>
      <w:r>
        <w:rPr>
          <w:lang w:val="en-GB"/>
        </w:rPr>
        <w:t>.</w:t>
      </w:r>
      <w:r w:rsidR="00A13F8F">
        <w:rPr>
          <w:lang w:val="en-GB"/>
        </w:rPr>
        <w:t>11</w:t>
      </w:r>
      <w:r>
        <w:rPr>
          <w:lang w:val="en-GB"/>
        </w:rPr>
        <w:t>.2018</w:t>
      </w:r>
    </w:p>
    <w:p w14:paraId="5404F0C6" w14:textId="1A8AA3A3" w:rsidR="00835D04" w:rsidRDefault="00835D04" w:rsidP="00835D04"/>
    <w:p w14:paraId="4CFE7F62" w14:textId="05EC444D" w:rsidR="00D4608D" w:rsidRPr="00D4608D" w:rsidRDefault="00D4608D" w:rsidP="000E47B7">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rPr>
          <w:rStyle w:val="Intensievebenadrukking"/>
        </w:rPr>
      </w:pPr>
      <w:r w:rsidRPr="00D4608D">
        <w:rPr>
          <w:rStyle w:val="Intensievebenadrukking"/>
        </w:rPr>
        <w:t>DISCLAIMER</w:t>
      </w:r>
    </w:p>
    <w:p w14:paraId="5A69A851" w14:textId="77777777" w:rsidR="00D4608D" w:rsidRPr="00D4608D" w:rsidRDefault="00D4608D" w:rsidP="000E47B7">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rPr>
          <w:rStyle w:val="Intensievebenadrukking"/>
        </w:rPr>
      </w:pPr>
      <w:r w:rsidRPr="00D4608D">
        <w:rPr>
          <w:rStyle w:val="Intensievebenadrukking"/>
        </w:rPr>
        <w:t>No responsibility or liability is accepted by the Actuarial Function Working Group, or any Committee of the Board constituted by the Institute of Actuaries of Belgium (IABE) or any of their respective members, officers, or advisors for any loss occasioned to any person acting or refraining from action as a result of any statement, fact, figure or expression of belief contained in this document or communication.</w:t>
      </w:r>
    </w:p>
    <w:p w14:paraId="0571F7C3" w14:textId="343E88F5" w:rsidR="00D4608D" w:rsidRDefault="00D4608D" w:rsidP="000E47B7">
      <w:pPr>
        <w:pBdr>
          <w:top w:val="single" w:sz="4" w:space="1" w:color="D0CECE" w:themeColor="background2" w:themeShade="E6"/>
          <w:left w:val="single" w:sz="4" w:space="4" w:color="D0CECE" w:themeColor="background2" w:themeShade="E6"/>
          <w:bottom w:val="single" w:sz="4" w:space="1" w:color="D0CECE" w:themeColor="background2" w:themeShade="E6"/>
          <w:right w:val="single" w:sz="4" w:space="4" w:color="D0CECE" w:themeColor="background2" w:themeShade="E6"/>
        </w:pBdr>
        <w:rPr>
          <w:rStyle w:val="Intensievebenadrukking"/>
        </w:rPr>
      </w:pPr>
      <w:r w:rsidRPr="00D4608D">
        <w:rPr>
          <w:rStyle w:val="Intensievebenadrukking"/>
        </w:rPr>
        <w:t>The IABE is aware that this guidance may be accessed by non-IABE members. IABE accepts no obligation to any non-IABE members or external parties for their use and further, no responsibility or liability for any decision or loss arising from this guidance.</w:t>
      </w:r>
    </w:p>
    <w:p w14:paraId="5E18F791" w14:textId="77777777" w:rsidR="000E47B7" w:rsidRPr="000E47B7" w:rsidRDefault="000E47B7" w:rsidP="000E47B7"/>
    <w:p w14:paraId="5F7D1CAA" w14:textId="16B7D622" w:rsidR="00835D04" w:rsidRPr="00D050F8" w:rsidRDefault="00835D04" w:rsidP="00835D04">
      <w:pPr>
        <w:pStyle w:val="Kop1"/>
      </w:pPr>
      <w:r>
        <w:t>Purpose</w:t>
      </w:r>
    </w:p>
    <w:p w14:paraId="5DC17EB2" w14:textId="1D49FB7E" w:rsidR="00835D04" w:rsidRDefault="00835D04" w:rsidP="00835D04">
      <w:r w:rsidRPr="004C2657">
        <w:t>The aim of this document is to provide</w:t>
      </w:r>
      <w:r>
        <w:t xml:space="preserve"> guidance</w:t>
      </w:r>
      <w:r w:rsidRPr="004C2657">
        <w:t xml:space="preserve"> on the Annual Actuarial Function Activity Report. They focus on the Solvency II requirements as defined in the Circular</w:t>
      </w:r>
      <w:r>
        <w:t xml:space="preserve"> </w:t>
      </w:r>
      <w:r w:rsidRPr="004C2657">
        <w:t>NBB_2016_31</w:t>
      </w:r>
      <w:r>
        <w:t xml:space="preserve"> </w:t>
      </w:r>
      <w:r w:rsidR="007C781B">
        <w:t>updated in September 2018</w:t>
      </w:r>
      <w:r w:rsidRPr="007C781B">
        <w:t>.</w:t>
      </w:r>
    </w:p>
    <w:p w14:paraId="632663CE" w14:textId="77777777" w:rsidR="00835D04" w:rsidRDefault="00835D04" w:rsidP="00835D04"/>
    <w:p w14:paraId="52CFBA50" w14:textId="009846BF" w:rsidR="00835D04" w:rsidRPr="000A2636" w:rsidRDefault="00835D04" w:rsidP="00835D04">
      <w:r w:rsidRPr="000A2636">
        <w:t xml:space="preserve">Those regulations precise namely that, according the Delegated Act 2015/35 (article 272), the </w:t>
      </w:r>
      <w:r w:rsidR="00210237" w:rsidRPr="000A2636">
        <w:t>Actuarial Function Holder must report at least annu</w:t>
      </w:r>
      <w:r w:rsidR="00A54A40" w:rsidRPr="000A2636">
        <w:t>all</w:t>
      </w:r>
      <w:r w:rsidR="00210237" w:rsidRPr="000A2636">
        <w:t>y, and direct</w:t>
      </w:r>
      <w:r w:rsidR="004547B3">
        <w:t xml:space="preserve">ly, or via the Risk Committee, </w:t>
      </w:r>
      <w:r w:rsidR="00210237" w:rsidRPr="000A2636">
        <w:t>to the Board of Director</w:t>
      </w:r>
      <w:r w:rsidR="004547B3">
        <w:t xml:space="preserve">s </w:t>
      </w:r>
      <w:r w:rsidR="00210237" w:rsidRPr="000A2636">
        <w:t>and</w:t>
      </w:r>
      <w:r w:rsidR="004547B3">
        <w:t>,</w:t>
      </w:r>
      <w:r w:rsidR="00210237" w:rsidRPr="000A2636">
        <w:t xml:space="preserve"> for information</w:t>
      </w:r>
      <w:r w:rsidR="004547B3">
        <w:t>, to the Executive Committee</w:t>
      </w:r>
      <w:r w:rsidR="00210237" w:rsidRPr="000A2636">
        <w:t>, on the execution of its missions</w:t>
      </w:r>
      <w:r w:rsidR="0004653B" w:rsidRPr="000A2636">
        <w:t>. The</w:t>
      </w:r>
      <w:r w:rsidRPr="000A2636">
        <w:t xml:space="preserve"> Activity Report must:</w:t>
      </w:r>
    </w:p>
    <w:p w14:paraId="062B7F29" w14:textId="77777777" w:rsidR="00835D04" w:rsidRPr="000A2636" w:rsidRDefault="00835D04" w:rsidP="00835D04">
      <w:pPr>
        <w:pStyle w:val="Bullet1"/>
      </w:pPr>
      <w:r w:rsidRPr="000A2636">
        <w:t>Report on all tasks performed by the Actuarial Function on and their results;</w:t>
      </w:r>
    </w:p>
    <w:p w14:paraId="4DB9F12E" w14:textId="77777777" w:rsidR="00835D04" w:rsidRPr="000A2636" w:rsidRDefault="00835D04" w:rsidP="00835D04">
      <w:pPr>
        <w:pStyle w:val="Bullet1"/>
      </w:pPr>
      <w:r w:rsidRPr="000A2636">
        <w:t>Indicate clearly the issues;</w:t>
      </w:r>
    </w:p>
    <w:p w14:paraId="71664EC5" w14:textId="77777777" w:rsidR="00835D04" w:rsidRPr="000A2636" w:rsidRDefault="00835D04" w:rsidP="00835D04">
      <w:pPr>
        <w:pStyle w:val="Bullet1"/>
      </w:pPr>
      <w:r w:rsidRPr="000A2636">
        <w:t>Enounce recommendations on remediation actions.</w:t>
      </w:r>
    </w:p>
    <w:p w14:paraId="666DE9EE" w14:textId="77777777" w:rsidR="00210237" w:rsidRDefault="00210237" w:rsidP="00210237">
      <w:pPr>
        <w:rPr>
          <w:lang w:val="fr-BE"/>
        </w:rPr>
      </w:pPr>
    </w:p>
    <w:p w14:paraId="09F3C0F5" w14:textId="0134467F" w:rsidR="00835D04" w:rsidRPr="00210237" w:rsidRDefault="00835D04" w:rsidP="00210237">
      <w:r w:rsidRPr="00210237">
        <w:t xml:space="preserve">This guidance on this report is presented as a </w:t>
      </w:r>
      <w:r w:rsidR="0055382C" w:rsidRPr="00210237">
        <w:t xml:space="preserve">template or a </w:t>
      </w:r>
      <w:r w:rsidRPr="00210237">
        <w:t>tabl</w:t>
      </w:r>
      <w:r w:rsidR="0055382C" w:rsidRPr="00210237">
        <w:t>e of contents in which each part</w:t>
      </w:r>
      <w:r w:rsidRPr="00210237">
        <w:t xml:space="preserve"> is commented. Detailed guidance on the specific tasks related to subjects mentioned in this document are/will be prepared separately.</w:t>
      </w:r>
    </w:p>
    <w:p w14:paraId="673E3604" w14:textId="77777777" w:rsidR="00835D04" w:rsidRPr="00D050F8" w:rsidRDefault="00835D04" w:rsidP="00835D04"/>
    <w:p w14:paraId="58AB2E70" w14:textId="77777777" w:rsidR="00835D04" w:rsidRDefault="00835D04" w:rsidP="00835D04">
      <w:r w:rsidRPr="004C2657">
        <w:t xml:space="preserve">For each topic, the related Belgian and European regulation references are mentioned for information. We point out that only the Belgian Law is applicable in Belgium but the </w:t>
      </w:r>
      <w:r>
        <w:t>European context can be of interest.</w:t>
      </w:r>
    </w:p>
    <w:p w14:paraId="3A21699C" w14:textId="77777777" w:rsidR="00835D04" w:rsidRPr="004C2657" w:rsidRDefault="00835D04" w:rsidP="00835D04">
      <w:r w:rsidRPr="004C2657">
        <w:t xml:space="preserve">  </w:t>
      </w:r>
    </w:p>
    <w:p w14:paraId="2EDD673B" w14:textId="39903D8A" w:rsidR="00835D04" w:rsidRPr="004C2657" w:rsidRDefault="00835D04" w:rsidP="00835D04">
      <w:r w:rsidRPr="004C2657">
        <w:t xml:space="preserve">The Actuarial Function can adapt the content according </w:t>
      </w:r>
      <w:r w:rsidR="004B4F98">
        <w:t xml:space="preserve">to </w:t>
      </w:r>
      <w:r w:rsidRPr="004C2657">
        <w:t>the needs of the stakeholder and the proportionality principle.</w:t>
      </w:r>
    </w:p>
    <w:p w14:paraId="7ECE08F0" w14:textId="77777777" w:rsidR="00835D04" w:rsidRDefault="00835D04" w:rsidP="00835D04"/>
    <w:p w14:paraId="4139DC78" w14:textId="77777777" w:rsidR="00835D04" w:rsidRPr="004C2657" w:rsidRDefault="00835D04" w:rsidP="00835D04">
      <w:r w:rsidRPr="004C2657">
        <w:t>The document does not treat WAP/LPC duties of the former appointed actuary or the IORP2 regulation. Those subjects will be the purpose</w:t>
      </w:r>
      <w:r>
        <w:t xml:space="preserve"> of other guidance</w:t>
      </w:r>
      <w:r w:rsidRPr="004C2657">
        <w:t>.</w:t>
      </w:r>
    </w:p>
    <w:p w14:paraId="63CBB60B" w14:textId="77777777" w:rsidR="00835D04" w:rsidRPr="00F855F4" w:rsidRDefault="00835D04" w:rsidP="00835D04"/>
    <w:p w14:paraId="26D74137" w14:textId="77777777" w:rsidR="00835D04" w:rsidRPr="00355620" w:rsidRDefault="00835D04" w:rsidP="00D4608D"/>
    <w:p w14:paraId="578F62EF" w14:textId="77777777" w:rsidR="002C3888" w:rsidRDefault="00465DCE" w:rsidP="0002073F">
      <w:pPr>
        <w:pStyle w:val="Kop1"/>
      </w:pPr>
      <w:bookmarkStart w:id="1" w:name="_Toc508793671"/>
      <w:r>
        <w:t>1. Executive Summary</w:t>
      </w:r>
      <w:bookmarkEnd w:id="1"/>
    </w:p>
    <w:p w14:paraId="32D35406" w14:textId="2FB7A2D4" w:rsidR="0089156C" w:rsidRDefault="00FB4711" w:rsidP="00FB4711">
      <w:pPr>
        <w:rPr>
          <w:rStyle w:val="Intensievebenadrukking"/>
        </w:rPr>
      </w:pPr>
      <w:r>
        <w:rPr>
          <w:rStyle w:val="Intensievebenadrukking"/>
        </w:rPr>
        <w:t xml:space="preserve">This </w:t>
      </w:r>
      <w:r w:rsidR="00832FCE">
        <w:rPr>
          <w:rStyle w:val="Intensievebenadrukking"/>
        </w:rPr>
        <w:t xml:space="preserve">part of the report </w:t>
      </w:r>
      <w:r w:rsidR="00062BE3">
        <w:rPr>
          <w:rStyle w:val="Intensievebenadrukking"/>
        </w:rPr>
        <w:t xml:space="preserve">shall </w:t>
      </w:r>
      <w:r>
        <w:rPr>
          <w:rStyle w:val="Intensievebenadrukking"/>
        </w:rPr>
        <w:t>contain al</w:t>
      </w:r>
      <w:r w:rsidR="0089156C">
        <w:rPr>
          <w:rStyle w:val="Intensievebenadrukking"/>
        </w:rPr>
        <w:t>l key messages to be delivered.</w:t>
      </w:r>
    </w:p>
    <w:p w14:paraId="704B44EA" w14:textId="4C6F7414" w:rsidR="00FB4711" w:rsidRDefault="00FB4711" w:rsidP="00FB4711">
      <w:pPr>
        <w:rPr>
          <w:rStyle w:val="Intensievebenadrukking"/>
        </w:rPr>
      </w:pPr>
      <w:r>
        <w:rPr>
          <w:rStyle w:val="Intensievebenadrukking"/>
        </w:rPr>
        <w:t>It is based on the structure</w:t>
      </w:r>
      <w:r w:rsidR="006A750F">
        <w:rPr>
          <w:rStyle w:val="Intensievebenadrukking"/>
        </w:rPr>
        <w:t xml:space="preserve"> of the report as from section 4</w:t>
      </w:r>
      <w:r>
        <w:rPr>
          <w:rStyle w:val="Intensievebenadrukking"/>
        </w:rPr>
        <w:t xml:space="preserve"> and the high level requirements </w:t>
      </w:r>
      <w:r w:rsidR="00325661">
        <w:rPr>
          <w:rStyle w:val="Intensievebenadrukking"/>
        </w:rPr>
        <w:t xml:space="preserve">on </w:t>
      </w:r>
      <w:r>
        <w:rPr>
          <w:rStyle w:val="Intensievebenadrukking"/>
        </w:rPr>
        <w:t xml:space="preserve">the </w:t>
      </w:r>
      <w:r w:rsidR="00100BB9">
        <w:rPr>
          <w:rStyle w:val="Intensievebenadrukking"/>
        </w:rPr>
        <w:t xml:space="preserve">Annual </w:t>
      </w:r>
      <w:r>
        <w:rPr>
          <w:rStyle w:val="Intensievebenadrukking"/>
        </w:rPr>
        <w:t>A</w:t>
      </w:r>
      <w:r w:rsidR="00100BB9">
        <w:rPr>
          <w:rStyle w:val="Intensievebenadrukking"/>
        </w:rPr>
        <w:t xml:space="preserve">ctuarial Function </w:t>
      </w:r>
      <w:r>
        <w:rPr>
          <w:rStyle w:val="Intensievebenadrukking"/>
        </w:rPr>
        <w:t xml:space="preserve">Activity Report as defined in the </w:t>
      </w:r>
      <w:r w:rsidR="007C781B" w:rsidRPr="007C781B">
        <w:rPr>
          <w:rStyle w:val="Intensievebenadrukking"/>
        </w:rPr>
        <w:t>Circular NBB_20</w:t>
      </w:r>
      <w:r w:rsidR="007C781B">
        <w:rPr>
          <w:rStyle w:val="Intensievebenadrukking"/>
        </w:rPr>
        <w:t>16_31 updated in September 2018</w:t>
      </w:r>
      <w:r w:rsidR="00100BB9">
        <w:rPr>
          <w:rStyle w:val="Intensievebenadrukking"/>
        </w:rPr>
        <w:t>:</w:t>
      </w:r>
      <w:r>
        <w:rPr>
          <w:rStyle w:val="Intensievebenadrukking"/>
        </w:rPr>
        <w:t xml:space="preserve"> the governance w.r.t. the A</w:t>
      </w:r>
      <w:r w:rsidR="00100BB9">
        <w:rPr>
          <w:rStyle w:val="Intensievebenadrukking"/>
        </w:rPr>
        <w:t xml:space="preserve">ctuarial </w:t>
      </w:r>
      <w:r>
        <w:rPr>
          <w:rStyle w:val="Intensievebenadrukking"/>
        </w:rPr>
        <w:t>F</w:t>
      </w:r>
      <w:r w:rsidR="00100BB9">
        <w:rPr>
          <w:rStyle w:val="Intensievebenadrukking"/>
        </w:rPr>
        <w:t>unction</w:t>
      </w:r>
      <w:r>
        <w:rPr>
          <w:rStyle w:val="Intensievebenadrukking"/>
        </w:rPr>
        <w:t>, the main conclusions</w:t>
      </w:r>
      <w:r w:rsidR="00100BB9">
        <w:rPr>
          <w:rStyle w:val="Intensievebenadrukking"/>
        </w:rPr>
        <w:t xml:space="preserve"> of the reviews that have been performed</w:t>
      </w:r>
      <w:r>
        <w:rPr>
          <w:rStyle w:val="Intensievebenadrukking"/>
        </w:rPr>
        <w:t xml:space="preserve">, the summary of </w:t>
      </w:r>
      <w:r w:rsidR="006A7A86">
        <w:rPr>
          <w:rStyle w:val="Intensievebenadrukking"/>
        </w:rPr>
        <w:t xml:space="preserve">the </w:t>
      </w:r>
      <w:r>
        <w:rPr>
          <w:rStyle w:val="Intensievebenadrukking"/>
        </w:rPr>
        <w:t>recommendations and the follow-up of outstanding recommendations from previous reports.</w:t>
      </w:r>
    </w:p>
    <w:p w14:paraId="129FC3F0" w14:textId="77777777" w:rsidR="0089156C" w:rsidRPr="001136C5" w:rsidRDefault="0089156C" w:rsidP="001136C5"/>
    <w:p w14:paraId="162C9CA4" w14:textId="77777777" w:rsidR="00465DCE" w:rsidRDefault="00D3294E" w:rsidP="00465DCE">
      <w:pPr>
        <w:pStyle w:val="Kop2"/>
      </w:pPr>
      <w:bookmarkStart w:id="2" w:name="_Toc508793672"/>
      <w:r>
        <w:lastRenderedPageBreak/>
        <w:t xml:space="preserve">1.1. </w:t>
      </w:r>
      <w:r w:rsidR="00465DCE">
        <w:t>Actuarial Function</w:t>
      </w:r>
      <w:bookmarkEnd w:id="2"/>
    </w:p>
    <w:p w14:paraId="4881F9DF" w14:textId="6966EF75" w:rsidR="007A2BDA" w:rsidRDefault="0089156C" w:rsidP="0089156C">
      <w:pPr>
        <w:rPr>
          <w:rStyle w:val="Intensievebenadrukking"/>
        </w:rPr>
      </w:pPr>
      <w:r>
        <w:rPr>
          <w:rStyle w:val="Intensievebenadrukking"/>
        </w:rPr>
        <w:t xml:space="preserve">This section relates to </w:t>
      </w:r>
      <w:r w:rsidR="001136C5">
        <w:rPr>
          <w:rStyle w:val="Intensievebenadrukking"/>
        </w:rPr>
        <w:t xml:space="preserve">key messages on </w:t>
      </w:r>
      <w:r>
        <w:rPr>
          <w:rStyle w:val="Intensievebenadrukking"/>
        </w:rPr>
        <w:t>the governance</w:t>
      </w:r>
      <w:r w:rsidR="001136C5">
        <w:rPr>
          <w:rStyle w:val="Intensievebenadrukking"/>
        </w:rPr>
        <w:t xml:space="preserve"> </w:t>
      </w:r>
      <w:r w:rsidR="0096397C">
        <w:rPr>
          <w:rStyle w:val="Intensievebenadrukking"/>
        </w:rPr>
        <w:t xml:space="preserve">and effectiveness </w:t>
      </w:r>
      <w:r w:rsidR="001136C5">
        <w:rPr>
          <w:rStyle w:val="Intensievebenadrukking"/>
        </w:rPr>
        <w:t>o</w:t>
      </w:r>
      <w:r w:rsidR="001663E8">
        <w:rPr>
          <w:rStyle w:val="Intensievebenadrukking"/>
        </w:rPr>
        <w:t>f</w:t>
      </w:r>
      <w:r w:rsidR="001136C5">
        <w:rPr>
          <w:rStyle w:val="Intensievebenadrukking"/>
        </w:rPr>
        <w:t xml:space="preserve"> the Actuarial Function</w:t>
      </w:r>
      <w:r w:rsidR="005B3474">
        <w:rPr>
          <w:rStyle w:val="Intensievebenadrukking"/>
        </w:rPr>
        <w:t>, including the self-assessment.</w:t>
      </w:r>
      <w:r w:rsidR="007A2BDA">
        <w:rPr>
          <w:rStyle w:val="Intensievebenadrukking"/>
        </w:rPr>
        <w:t xml:space="preserve"> </w:t>
      </w:r>
    </w:p>
    <w:p w14:paraId="3D5BC5FD" w14:textId="180712F2" w:rsidR="0089156C" w:rsidRDefault="007A2BDA" w:rsidP="0089156C">
      <w:pPr>
        <w:rPr>
          <w:rStyle w:val="Intensievebenadrukking"/>
        </w:rPr>
      </w:pPr>
      <w:r>
        <w:rPr>
          <w:rStyle w:val="Intensievebenadrukking"/>
        </w:rPr>
        <w:t>It also contains the list of activities and reports performed during the year.</w:t>
      </w:r>
    </w:p>
    <w:p w14:paraId="04C75CEC" w14:textId="77777777" w:rsidR="001136C5" w:rsidRPr="0089156C" w:rsidRDefault="001136C5" w:rsidP="0089156C">
      <w:pPr>
        <w:rPr>
          <w:rStyle w:val="Intensievebenadrukking"/>
        </w:rPr>
      </w:pPr>
    </w:p>
    <w:p w14:paraId="6F446D53" w14:textId="77777777" w:rsidR="00465DCE" w:rsidRDefault="00465DCE" w:rsidP="00465DCE">
      <w:pPr>
        <w:pStyle w:val="Kop2"/>
      </w:pPr>
      <w:bookmarkStart w:id="3" w:name="_Toc508793673"/>
      <w:r>
        <w:t>1.2. Summary of Conclusions</w:t>
      </w:r>
      <w:bookmarkEnd w:id="3"/>
    </w:p>
    <w:p w14:paraId="2F22EDB5" w14:textId="3E18D2F8" w:rsidR="001136C5" w:rsidRDefault="001136C5" w:rsidP="001136C5">
      <w:pPr>
        <w:rPr>
          <w:rStyle w:val="Intensievebenadrukking"/>
        </w:rPr>
      </w:pPr>
      <w:r>
        <w:rPr>
          <w:rStyle w:val="Intensievebenadrukking"/>
        </w:rPr>
        <w:t xml:space="preserve">This section relates to key messages on technical subjects as listed in the </w:t>
      </w:r>
      <w:r w:rsidR="0048381F" w:rsidRPr="0048381F">
        <w:rPr>
          <w:rStyle w:val="Intensievebenadrukking"/>
        </w:rPr>
        <w:t>Circular NBB_20</w:t>
      </w:r>
      <w:r w:rsidR="0048381F">
        <w:rPr>
          <w:rStyle w:val="Intensievebenadrukking"/>
        </w:rPr>
        <w:t>16_31 updated in September 2018</w:t>
      </w:r>
      <w:r w:rsidR="00F774AF">
        <w:rPr>
          <w:rStyle w:val="Intensievebenadrukking"/>
        </w:rPr>
        <w:t xml:space="preserve"> and the Directive 2009/138/EC – Art. 48</w:t>
      </w:r>
      <w:r w:rsidR="001663E8">
        <w:rPr>
          <w:rStyle w:val="Intensievebenadrukking"/>
        </w:rPr>
        <w:t>. (Remark: t</w:t>
      </w:r>
      <w:r>
        <w:rPr>
          <w:rStyle w:val="Intensievebenadrukking"/>
        </w:rPr>
        <w:t>he content of the A</w:t>
      </w:r>
      <w:r w:rsidR="001663E8">
        <w:rPr>
          <w:rStyle w:val="Intensievebenadrukking"/>
        </w:rPr>
        <w:t xml:space="preserve">ctuarial </w:t>
      </w:r>
      <w:r>
        <w:rPr>
          <w:rStyle w:val="Intensievebenadrukking"/>
        </w:rPr>
        <w:t>F</w:t>
      </w:r>
      <w:r w:rsidR="001663E8">
        <w:rPr>
          <w:rStyle w:val="Intensievebenadrukking"/>
        </w:rPr>
        <w:t>unction</w:t>
      </w:r>
      <w:r>
        <w:rPr>
          <w:rStyle w:val="Intensievebenadrukking"/>
        </w:rPr>
        <w:t xml:space="preserve"> </w:t>
      </w:r>
      <w:r w:rsidR="00124B21">
        <w:rPr>
          <w:rStyle w:val="Intensievebenadrukking"/>
        </w:rPr>
        <w:t>a</w:t>
      </w:r>
      <w:r>
        <w:rPr>
          <w:rStyle w:val="Intensievebenadrukking"/>
        </w:rPr>
        <w:t>ssessment reports may treat several subjects together.</w:t>
      </w:r>
      <w:r w:rsidR="001663E8">
        <w:rPr>
          <w:rStyle w:val="Intensievebenadrukking"/>
        </w:rPr>
        <w:t>)</w:t>
      </w:r>
    </w:p>
    <w:p w14:paraId="36B9BB57" w14:textId="6A290E54" w:rsidR="00AA36BB" w:rsidRPr="001C297E" w:rsidRDefault="000E0E81" w:rsidP="00FE2E26">
      <w:pPr>
        <w:pStyle w:val="Indent1"/>
      </w:pPr>
      <w:bookmarkStart w:id="4" w:name="_Toc508793676"/>
      <w:r>
        <w:t>1</w:t>
      </w:r>
      <w:r w:rsidR="009F7C96">
        <w:t xml:space="preserve">. </w:t>
      </w:r>
      <w:r w:rsidR="00506E89">
        <w:t>Technical Provision</w:t>
      </w:r>
      <w:r w:rsidR="00AA36BB" w:rsidRPr="001C297E">
        <w:t>s</w:t>
      </w:r>
      <w:bookmarkEnd w:id="4"/>
    </w:p>
    <w:p w14:paraId="423CC810" w14:textId="029355A9" w:rsidR="000A2636" w:rsidRPr="00FE2E26" w:rsidRDefault="000E0E81" w:rsidP="000A2636">
      <w:pPr>
        <w:pStyle w:val="Indent1"/>
      </w:pPr>
      <w:bookmarkStart w:id="5" w:name="_Toc508793678"/>
      <w:bookmarkStart w:id="6" w:name="_Toc508793677"/>
      <w:r>
        <w:t>2</w:t>
      </w:r>
      <w:r w:rsidR="000A2636" w:rsidRPr="00FE2E26">
        <w:t>. Underwriting</w:t>
      </w:r>
      <w:bookmarkEnd w:id="5"/>
      <w:r w:rsidR="000A2636">
        <w:t xml:space="preserve"> &amp; Profitability</w:t>
      </w:r>
    </w:p>
    <w:p w14:paraId="3BA35564" w14:textId="1425CF03" w:rsidR="000A2636" w:rsidRPr="00FE2E26" w:rsidRDefault="000E0E81" w:rsidP="000A2636">
      <w:pPr>
        <w:pStyle w:val="Indent1"/>
      </w:pPr>
      <w:bookmarkStart w:id="7" w:name="_Toc508793679"/>
      <w:r>
        <w:t>3</w:t>
      </w:r>
      <w:r w:rsidR="000A2636" w:rsidRPr="00FE2E26">
        <w:t>. Reinsurance</w:t>
      </w:r>
      <w:bookmarkEnd w:id="7"/>
    </w:p>
    <w:p w14:paraId="05104A09" w14:textId="1B15FD2C" w:rsidR="000A2636" w:rsidRPr="00FE2E26" w:rsidRDefault="000E0E81" w:rsidP="000A2636">
      <w:pPr>
        <w:pStyle w:val="Indent1"/>
      </w:pPr>
      <w:r>
        <w:t>4</w:t>
      </w:r>
      <w:r w:rsidR="000A2636">
        <w:t xml:space="preserve">. </w:t>
      </w:r>
      <w:r w:rsidR="000A2636" w:rsidRPr="00FE2E26">
        <w:t>Profit Sharing &amp; Rebates</w:t>
      </w:r>
    </w:p>
    <w:p w14:paraId="60D38D1A" w14:textId="7D200C39" w:rsidR="004C17F2" w:rsidRDefault="000E0E81" w:rsidP="00FE2E26">
      <w:pPr>
        <w:pStyle w:val="Indent1"/>
      </w:pPr>
      <w:bookmarkStart w:id="8" w:name="_Toc508793680"/>
      <w:bookmarkEnd w:id="6"/>
      <w:r>
        <w:t>5</w:t>
      </w:r>
      <w:r w:rsidR="004C17F2" w:rsidRPr="00FE2E26">
        <w:t>. Contribution to Risk Management</w:t>
      </w:r>
      <w:bookmarkEnd w:id="8"/>
    </w:p>
    <w:p w14:paraId="2247B649" w14:textId="48EB7572" w:rsidR="001756E6" w:rsidRDefault="000E0E81" w:rsidP="00FE2E26">
      <w:pPr>
        <w:pStyle w:val="Indent1"/>
      </w:pPr>
      <w:r>
        <w:t>6</w:t>
      </w:r>
      <w:r w:rsidR="001756E6">
        <w:t xml:space="preserve">. Tasks </w:t>
      </w:r>
      <w:r w:rsidR="003069A8">
        <w:t xml:space="preserve">related </w:t>
      </w:r>
      <w:r w:rsidR="00B56ABE">
        <w:t>to t</w:t>
      </w:r>
      <w:r w:rsidR="001756E6">
        <w:t xml:space="preserve">ransitional </w:t>
      </w:r>
      <w:r w:rsidR="00B56ABE">
        <w:t>m</w:t>
      </w:r>
      <w:r w:rsidR="001756E6">
        <w:t>easures</w:t>
      </w:r>
    </w:p>
    <w:p w14:paraId="70408C97" w14:textId="21FA1845" w:rsidR="004E7496" w:rsidRPr="00FE2E26" w:rsidRDefault="000E0E81" w:rsidP="00FE2E26">
      <w:pPr>
        <w:pStyle w:val="Indent1"/>
      </w:pPr>
      <w:r>
        <w:t>7</w:t>
      </w:r>
      <w:r w:rsidR="004E7496">
        <w:t>. Other tasks</w:t>
      </w:r>
    </w:p>
    <w:p w14:paraId="2ED8FE48" w14:textId="77777777" w:rsidR="00465DCE" w:rsidRDefault="00465DCE" w:rsidP="00465DCE">
      <w:pPr>
        <w:pStyle w:val="Kop2"/>
      </w:pPr>
      <w:bookmarkStart w:id="9" w:name="_Toc508793681"/>
      <w:r>
        <w:t>1.3. Summary of Recommendations</w:t>
      </w:r>
      <w:bookmarkEnd w:id="9"/>
    </w:p>
    <w:p w14:paraId="559FCFD8" w14:textId="76CF20D7" w:rsidR="00465DCE" w:rsidRDefault="00465DCE" w:rsidP="00465DCE">
      <w:pPr>
        <w:pStyle w:val="Kop2"/>
      </w:pPr>
      <w:bookmarkStart w:id="10" w:name="_Toc508793682"/>
      <w:r>
        <w:t>1.4. Summary of outstanding recommendations of previous reports</w:t>
      </w:r>
      <w:bookmarkEnd w:id="10"/>
    </w:p>
    <w:p w14:paraId="032BC13C" w14:textId="6FC2A69A" w:rsidR="00F855F4" w:rsidRPr="00F855F4" w:rsidRDefault="00F855F4" w:rsidP="00F855F4">
      <w:pPr>
        <w:pStyle w:val="Kop2"/>
      </w:pPr>
      <w:r>
        <w:t>1</w:t>
      </w:r>
      <w:r w:rsidR="00E83945">
        <w:t>.5. Appendices</w:t>
      </w:r>
    </w:p>
    <w:p w14:paraId="6EF57A71" w14:textId="77777777" w:rsidR="00465DCE" w:rsidRDefault="00465DCE" w:rsidP="00465DCE"/>
    <w:p w14:paraId="5A672D3F" w14:textId="77777777" w:rsidR="001136C5" w:rsidRDefault="00B42568" w:rsidP="00465DCE">
      <w:pPr>
        <w:pStyle w:val="Kop1"/>
      </w:pPr>
      <w:bookmarkStart w:id="11" w:name="_Toc508793684"/>
      <w:r>
        <w:t>2</w:t>
      </w:r>
      <w:r w:rsidR="00465DCE">
        <w:t xml:space="preserve">. </w:t>
      </w:r>
      <w:bookmarkEnd w:id="11"/>
      <w:r w:rsidR="001136C5">
        <w:t>Table of Contents</w:t>
      </w:r>
    </w:p>
    <w:p w14:paraId="433FAED1" w14:textId="77777777" w:rsidR="001136C5" w:rsidRPr="001136C5" w:rsidRDefault="001136C5" w:rsidP="001136C5"/>
    <w:p w14:paraId="7D225519" w14:textId="77777777" w:rsidR="001136C5" w:rsidRDefault="001136C5" w:rsidP="00465DCE">
      <w:pPr>
        <w:pStyle w:val="Kop1"/>
      </w:pPr>
      <w:r>
        <w:t>3. Introduction</w:t>
      </w:r>
    </w:p>
    <w:p w14:paraId="2927A3BC" w14:textId="28B7CDF9" w:rsidR="001136C5" w:rsidRPr="001136C5" w:rsidRDefault="001136C5" w:rsidP="001136C5">
      <w:pPr>
        <w:rPr>
          <w:rStyle w:val="Intensievebenadrukking"/>
        </w:rPr>
      </w:pPr>
      <w:r w:rsidRPr="000A2636">
        <w:rPr>
          <w:rStyle w:val="Intensievebenadrukking"/>
        </w:rPr>
        <w:t xml:space="preserve">This </w:t>
      </w:r>
      <w:r w:rsidR="00DE5B44" w:rsidRPr="000A2636">
        <w:rPr>
          <w:rStyle w:val="Intensievebenadrukking"/>
        </w:rPr>
        <w:t>part</w:t>
      </w:r>
      <w:r w:rsidRPr="000A2636">
        <w:rPr>
          <w:rStyle w:val="Intensievebenadrukking"/>
        </w:rPr>
        <w:t xml:space="preserve"> contains amongst other</w:t>
      </w:r>
      <w:r w:rsidR="006A7A86" w:rsidRPr="000A2636">
        <w:rPr>
          <w:rStyle w:val="Intensievebenadrukking"/>
        </w:rPr>
        <w:t>s</w:t>
      </w:r>
      <w:r w:rsidRPr="000A2636">
        <w:rPr>
          <w:rStyle w:val="Intensievebenadrukking"/>
        </w:rPr>
        <w:t xml:space="preserve"> the scop</w:t>
      </w:r>
      <w:r w:rsidR="00DE5B44" w:rsidRPr="000A2636">
        <w:rPr>
          <w:rStyle w:val="Intensievebenadrukking"/>
        </w:rPr>
        <w:t>e and the purpose of the report as well as the particularities for the specific review year that might be important to mention in order to sketch the context of the report.</w:t>
      </w:r>
    </w:p>
    <w:p w14:paraId="70C11C51" w14:textId="77777777" w:rsidR="001136C5" w:rsidRPr="001136C5" w:rsidRDefault="001136C5" w:rsidP="001136C5"/>
    <w:p w14:paraId="3B683208" w14:textId="77777777" w:rsidR="00465DCE" w:rsidRDefault="001136C5" w:rsidP="00465DCE">
      <w:pPr>
        <w:pStyle w:val="Kop1"/>
      </w:pPr>
      <w:r>
        <w:t xml:space="preserve">4. </w:t>
      </w:r>
      <w:r w:rsidR="00C06510">
        <w:t>Actuarial Function</w:t>
      </w:r>
    </w:p>
    <w:p w14:paraId="2754383F" w14:textId="6A3A236A" w:rsidR="00FB4711" w:rsidRDefault="00FB4711" w:rsidP="00FB4711">
      <w:pPr>
        <w:rPr>
          <w:rStyle w:val="Intensievebenadrukking"/>
        </w:rPr>
      </w:pPr>
      <w:bookmarkStart w:id="12" w:name="_Toc508793685"/>
      <w:r>
        <w:rPr>
          <w:rStyle w:val="Intensievebenadrukking"/>
        </w:rPr>
        <w:t xml:space="preserve">This </w:t>
      </w:r>
      <w:r w:rsidR="00832FCE">
        <w:rPr>
          <w:rStyle w:val="Intensievebenadrukking"/>
        </w:rPr>
        <w:t>part of the report</w:t>
      </w:r>
      <w:r>
        <w:rPr>
          <w:rStyle w:val="Intensievebenadrukking"/>
        </w:rPr>
        <w:t xml:space="preserve"> relates to the governance</w:t>
      </w:r>
      <w:r w:rsidR="0096397C">
        <w:rPr>
          <w:rStyle w:val="Intensievebenadrukking"/>
        </w:rPr>
        <w:t xml:space="preserve"> and the effectiveness</w:t>
      </w:r>
      <w:r>
        <w:rPr>
          <w:rStyle w:val="Intensievebenadrukking"/>
        </w:rPr>
        <w:t xml:space="preserve"> with respect to the Actuarial Function.</w:t>
      </w:r>
    </w:p>
    <w:p w14:paraId="64FE8C78" w14:textId="77777777" w:rsidR="001136C5" w:rsidRPr="001136C5" w:rsidRDefault="001136C5" w:rsidP="001136C5"/>
    <w:p w14:paraId="3AFAC963" w14:textId="10315546" w:rsidR="00792D3A" w:rsidRPr="002C39DF" w:rsidRDefault="001136C5" w:rsidP="00D456E8">
      <w:pPr>
        <w:pStyle w:val="Kop2"/>
        <w:tabs>
          <w:tab w:val="left" w:pos="3402"/>
        </w:tabs>
        <w:rPr>
          <w:rStyle w:val="Intensievebenadrukking"/>
          <w:i w:val="0"/>
          <w:iCs w:val="0"/>
          <w:color w:val="auto"/>
        </w:rPr>
      </w:pPr>
      <w:r>
        <w:t>4</w:t>
      </w:r>
      <w:r w:rsidR="00901D39">
        <w:t xml:space="preserve">.1. Legal requirements </w:t>
      </w:r>
      <w:r w:rsidR="006C75A0">
        <w:t xml:space="preserve">on </w:t>
      </w:r>
      <w:r w:rsidR="00901D39">
        <w:t>the Actuarial Function</w:t>
      </w:r>
      <w:bookmarkEnd w:id="12"/>
    </w:p>
    <w:p w14:paraId="420CAD03" w14:textId="2A8C2F23" w:rsidR="00901D39" w:rsidRDefault="00831141" w:rsidP="00465DCE">
      <w:r w:rsidRPr="00D832C6">
        <w:t>With the introduction of Solvency II as of 1</w:t>
      </w:r>
      <w:r w:rsidRPr="00D832C6">
        <w:rPr>
          <w:vertAlign w:val="superscript"/>
        </w:rPr>
        <w:t>st</w:t>
      </w:r>
      <w:r w:rsidRPr="00D832C6">
        <w:t xml:space="preserve"> January 2016, the implementation </w:t>
      </w:r>
      <w:r w:rsidR="006C75A0" w:rsidRPr="00D832C6">
        <w:t xml:space="preserve">of the Actuarial Function </w:t>
      </w:r>
      <w:r w:rsidR="004B49D2" w:rsidRPr="00D832C6">
        <w:t>as an independent second line control</w:t>
      </w:r>
      <w:r w:rsidR="00B57E06" w:rsidRPr="00D832C6">
        <w:t>ling</w:t>
      </w:r>
      <w:r w:rsidR="004B49D2" w:rsidRPr="00D832C6">
        <w:t xml:space="preserve"> </w:t>
      </w:r>
      <w:r w:rsidR="000D1C74" w:rsidRPr="00D832C6">
        <w:t xml:space="preserve">function is mandatory. </w:t>
      </w:r>
      <w:r w:rsidR="004B4F98" w:rsidRPr="00D832C6">
        <w:t>The applicable</w:t>
      </w:r>
      <w:r w:rsidR="009857FC" w:rsidRPr="00D832C6">
        <w:t xml:space="preserve"> </w:t>
      </w:r>
      <w:r w:rsidRPr="00D832C6">
        <w:t xml:space="preserve">Belgian </w:t>
      </w:r>
      <w:r w:rsidR="00C77A13" w:rsidRPr="00D832C6">
        <w:t xml:space="preserve">and European </w:t>
      </w:r>
      <w:r w:rsidRPr="00D832C6">
        <w:t>legislation</w:t>
      </w:r>
      <w:r w:rsidR="000D1C74" w:rsidRPr="00D832C6">
        <w:t>s</w:t>
      </w:r>
      <w:r>
        <w:t xml:space="preserve"> (Solvency I</w:t>
      </w:r>
      <w:r w:rsidR="009857FC">
        <w:t xml:space="preserve">I) </w:t>
      </w:r>
      <w:r w:rsidR="004B4F98">
        <w:t xml:space="preserve">regarding the Actuarial Function </w:t>
      </w:r>
      <w:r w:rsidR="000D1C74">
        <w:t>are</w:t>
      </w:r>
      <w:r w:rsidR="009857FC">
        <w:t xml:space="preserve"> found </w:t>
      </w:r>
      <w:r w:rsidR="000D1C74">
        <w:t>in</w:t>
      </w:r>
      <w:r w:rsidR="009857FC">
        <w:t xml:space="preserve"> the annex.</w:t>
      </w:r>
    </w:p>
    <w:p w14:paraId="0EA5DB57" w14:textId="77777777" w:rsidR="001136C5" w:rsidRPr="001136C5" w:rsidRDefault="001136C5" w:rsidP="001136C5"/>
    <w:p w14:paraId="20D09BFA" w14:textId="295F3039" w:rsidR="0051661E" w:rsidRDefault="00832FCE" w:rsidP="0051661E">
      <w:pPr>
        <w:pStyle w:val="Kop2"/>
      </w:pPr>
      <w:bookmarkStart w:id="13" w:name="_Toc508793687"/>
      <w:r>
        <w:t>4</w:t>
      </w:r>
      <w:r w:rsidR="0051661E">
        <w:t>.</w:t>
      </w:r>
      <w:r w:rsidR="00377200">
        <w:t>2</w:t>
      </w:r>
      <w:r w:rsidR="0051661E">
        <w:t xml:space="preserve">. </w:t>
      </w:r>
      <w:r w:rsidR="00BC7037">
        <w:t xml:space="preserve">Implementation and effectiveness of the </w:t>
      </w:r>
      <w:r w:rsidR="0051661E">
        <w:t>Actuarial Function</w:t>
      </w:r>
      <w:bookmarkEnd w:id="13"/>
    </w:p>
    <w:p w14:paraId="7DFC819C" w14:textId="4EA18244" w:rsidR="001A2789" w:rsidRDefault="001136C5" w:rsidP="001136C5">
      <w:pPr>
        <w:rPr>
          <w:rStyle w:val="Intensievebenadrukking"/>
        </w:rPr>
      </w:pPr>
      <w:r>
        <w:rPr>
          <w:rStyle w:val="Intensievebenadrukking"/>
        </w:rPr>
        <w:t xml:space="preserve">This section </w:t>
      </w:r>
      <w:r w:rsidR="00823743">
        <w:rPr>
          <w:rStyle w:val="Intensievebenadrukking"/>
        </w:rPr>
        <w:t xml:space="preserve">shall </w:t>
      </w:r>
      <w:r w:rsidR="00BC7037">
        <w:rPr>
          <w:rStyle w:val="Intensievebenadrukking"/>
        </w:rPr>
        <w:t>describe how the Actuar</w:t>
      </w:r>
      <w:r w:rsidR="001B4B3D">
        <w:rPr>
          <w:rStyle w:val="Intensievebenadrukking"/>
        </w:rPr>
        <w:t>ial Function is implemented</w:t>
      </w:r>
      <w:r w:rsidR="00BC7037">
        <w:rPr>
          <w:rStyle w:val="Intensievebenadrukking"/>
        </w:rPr>
        <w:t xml:space="preserve"> and its effectiveness during the year.</w:t>
      </w:r>
    </w:p>
    <w:p w14:paraId="74AD6E3D" w14:textId="1A7BFAC7" w:rsidR="00377200" w:rsidRDefault="009857FC" w:rsidP="001136C5">
      <w:pPr>
        <w:rPr>
          <w:rStyle w:val="Intensievebenadrukking"/>
        </w:rPr>
      </w:pPr>
      <w:r>
        <w:rPr>
          <w:rStyle w:val="Intensievebenadrukking"/>
        </w:rPr>
        <w:t>Remark: guidance on the content</w:t>
      </w:r>
      <w:r w:rsidR="00377200">
        <w:rPr>
          <w:rStyle w:val="Intensievebenadrukking"/>
        </w:rPr>
        <w:t xml:space="preserve"> of this section will be produced by the IABE work</w:t>
      </w:r>
      <w:r w:rsidR="00823743">
        <w:rPr>
          <w:rStyle w:val="Intensievebenadrukking"/>
        </w:rPr>
        <w:t>ing</w:t>
      </w:r>
      <w:r w:rsidR="00377200">
        <w:rPr>
          <w:rStyle w:val="Intensievebenadrukking"/>
        </w:rPr>
        <w:t xml:space="preserve"> group on Actuarial Function.</w:t>
      </w:r>
    </w:p>
    <w:p w14:paraId="5B053BED" w14:textId="77777777" w:rsidR="001A2789" w:rsidRPr="001A2789" w:rsidRDefault="001A2789" w:rsidP="001A2789"/>
    <w:p w14:paraId="4D11978C" w14:textId="353DA556" w:rsidR="0072160B" w:rsidRDefault="00832FCE" w:rsidP="0011466B">
      <w:pPr>
        <w:pStyle w:val="Kop2"/>
      </w:pPr>
      <w:bookmarkStart w:id="14" w:name="_Toc508793688"/>
      <w:r>
        <w:t>4</w:t>
      </w:r>
      <w:r w:rsidR="0011466B">
        <w:t>.</w:t>
      </w:r>
      <w:r w:rsidR="00377200">
        <w:t>3</w:t>
      </w:r>
      <w:r w:rsidR="0011466B">
        <w:t xml:space="preserve">. </w:t>
      </w:r>
      <w:r w:rsidR="00BC7037">
        <w:t>Self-assessment</w:t>
      </w:r>
      <w:r w:rsidR="0072160B">
        <w:t xml:space="preserve"> o</w:t>
      </w:r>
      <w:r w:rsidR="00BC7037">
        <w:t>n</w:t>
      </w:r>
      <w:r w:rsidR="0072160B">
        <w:t xml:space="preserve"> the Actuarial Function</w:t>
      </w:r>
    </w:p>
    <w:p w14:paraId="5AF49A27" w14:textId="63454F34" w:rsidR="0072160B" w:rsidRDefault="00377200" w:rsidP="0072160B">
      <w:pPr>
        <w:rPr>
          <w:rStyle w:val="Intensievebenadrukking"/>
        </w:rPr>
      </w:pPr>
      <w:r>
        <w:rPr>
          <w:rStyle w:val="Intensievebenadrukking"/>
        </w:rPr>
        <w:t xml:space="preserve">This section </w:t>
      </w:r>
      <w:r w:rsidR="00823743">
        <w:rPr>
          <w:rStyle w:val="Intensievebenadrukking"/>
        </w:rPr>
        <w:t xml:space="preserve">shall </w:t>
      </w:r>
      <w:r>
        <w:rPr>
          <w:rStyle w:val="Intensievebenadrukking"/>
        </w:rPr>
        <w:t xml:space="preserve">contain </w:t>
      </w:r>
      <w:r w:rsidR="00BC7037">
        <w:rPr>
          <w:rStyle w:val="Intensievebenadrukking"/>
        </w:rPr>
        <w:t xml:space="preserve">the </w:t>
      </w:r>
      <w:r w:rsidR="00AA0F2C">
        <w:rPr>
          <w:rStyle w:val="Intensievebenadrukking"/>
        </w:rPr>
        <w:t xml:space="preserve">conclusion of the </w:t>
      </w:r>
      <w:r w:rsidR="00BC7037">
        <w:rPr>
          <w:rStyle w:val="Intensievebenadrukking"/>
        </w:rPr>
        <w:t xml:space="preserve">self-assessment </w:t>
      </w:r>
      <w:r w:rsidR="004B4F98">
        <w:rPr>
          <w:rStyle w:val="Intensievebenadrukking"/>
        </w:rPr>
        <w:t>of</w:t>
      </w:r>
      <w:r w:rsidR="00AA0F2C">
        <w:rPr>
          <w:rStyle w:val="Intensievebenadrukking"/>
        </w:rPr>
        <w:t xml:space="preserve"> the Actuarial Function during the year.</w:t>
      </w:r>
    </w:p>
    <w:p w14:paraId="102229B4" w14:textId="77777777" w:rsidR="00377200" w:rsidRPr="00377200" w:rsidRDefault="00377200" w:rsidP="00377200"/>
    <w:p w14:paraId="72D8CF7B" w14:textId="37EB8EDC" w:rsidR="006E3F98" w:rsidRDefault="0072160B" w:rsidP="0011466B">
      <w:pPr>
        <w:pStyle w:val="Kop2"/>
      </w:pPr>
      <w:r>
        <w:t>4.</w:t>
      </w:r>
      <w:r w:rsidR="00C76B74">
        <w:t>4.</w:t>
      </w:r>
      <w:r>
        <w:t xml:space="preserve"> </w:t>
      </w:r>
      <w:r w:rsidR="0011466B">
        <w:t xml:space="preserve">Actuarial Function </w:t>
      </w:r>
      <w:bookmarkEnd w:id="14"/>
      <w:r w:rsidR="007A2BDA">
        <w:t>Activities and Reports</w:t>
      </w:r>
    </w:p>
    <w:p w14:paraId="029CA077" w14:textId="050869AD" w:rsidR="007A2BDA" w:rsidRPr="00C96421" w:rsidRDefault="00C96421" w:rsidP="007A2BDA">
      <w:pPr>
        <w:rPr>
          <w:rStyle w:val="Intensievebenadrukking"/>
        </w:rPr>
      </w:pPr>
      <w:r w:rsidRPr="00C96421">
        <w:rPr>
          <w:rStyle w:val="Intensievebenadrukking"/>
        </w:rPr>
        <w:t xml:space="preserve">This section </w:t>
      </w:r>
      <w:r w:rsidR="00823743">
        <w:rPr>
          <w:rStyle w:val="Intensievebenadrukking"/>
        </w:rPr>
        <w:t xml:space="preserve">shall </w:t>
      </w:r>
      <w:r>
        <w:rPr>
          <w:rStyle w:val="Intensievebenadrukking"/>
        </w:rPr>
        <w:t xml:space="preserve">contain </w:t>
      </w:r>
      <w:r w:rsidR="00832FCE">
        <w:rPr>
          <w:rStyle w:val="Intensievebenadrukking"/>
        </w:rPr>
        <w:t>general information on activities</w:t>
      </w:r>
      <w:r w:rsidR="00377200">
        <w:rPr>
          <w:rStyle w:val="Intensievebenadrukking"/>
        </w:rPr>
        <w:t xml:space="preserve"> (including</w:t>
      </w:r>
      <w:r w:rsidR="004B4F98">
        <w:rPr>
          <w:rStyle w:val="Intensievebenadrukking"/>
        </w:rPr>
        <w:t xml:space="preserve"> main training and information</w:t>
      </w:r>
      <w:r w:rsidR="00DA1CFA">
        <w:rPr>
          <w:rStyle w:val="Intensievebenadrukking"/>
        </w:rPr>
        <w:t xml:space="preserve"> sessions)</w:t>
      </w:r>
      <w:r w:rsidR="00832FCE">
        <w:rPr>
          <w:rStyle w:val="Intensievebenadrukking"/>
        </w:rPr>
        <w:t xml:space="preserve"> and report</w:t>
      </w:r>
      <w:r w:rsidR="006C75A0">
        <w:rPr>
          <w:rStyle w:val="Intensievebenadrukking"/>
        </w:rPr>
        <w:t>s</w:t>
      </w:r>
      <w:r w:rsidR="00832FCE">
        <w:rPr>
          <w:rStyle w:val="Intensievebenadrukking"/>
        </w:rPr>
        <w:t xml:space="preserve"> performed by the Actuarial Func</w:t>
      </w:r>
      <w:r w:rsidR="00AA0F2C">
        <w:rPr>
          <w:rStyle w:val="Intensievebenadrukking"/>
        </w:rPr>
        <w:t xml:space="preserve">tion </w:t>
      </w:r>
      <w:r w:rsidR="00832FCE">
        <w:rPr>
          <w:rStyle w:val="Intensievebenadrukking"/>
        </w:rPr>
        <w:t>during the year.</w:t>
      </w:r>
    </w:p>
    <w:p w14:paraId="13F6F2C6" w14:textId="35978E78" w:rsidR="00832FCE" w:rsidRDefault="00832FCE" w:rsidP="00465DCE"/>
    <w:p w14:paraId="03CC4A4F" w14:textId="77777777" w:rsidR="00832FCE" w:rsidRDefault="009B69E4" w:rsidP="00832FCE">
      <w:pPr>
        <w:pStyle w:val="Kop1"/>
      </w:pPr>
      <w:r>
        <w:lastRenderedPageBreak/>
        <w:t>5</w:t>
      </w:r>
      <w:r w:rsidR="00832FCE">
        <w:t>. Technical Areas</w:t>
      </w:r>
    </w:p>
    <w:p w14:paraId="4EF2B0B7" w14:textId="0EBA19EA" w:rsidR="009857FC" w:rsidRDefault="00832FCE" w:rsidP="00832FCE">
      <w:pPr>
        <w:rPr>
          <w:rStyle w:val="Intensievebenadrukking"/>
        </w:rPr>
      </w:pPr>
      <w:r>
        <w:rPr>
          <w:rStyle w:val="Intensievebenadrukking"/>
        </w:rPr>
        <w:t xml:space="preserve">This section relates to technical subjects as listed in the </w:t>
      </w:r>
      <w:r w:rsidR="0048381F" w:rsidRPr="0048381F">
        <w:rPr>
          <w:rStyle w:val="Intensievebenadrukking"/>
        </w:rPr>
        <w:t>Circular NBB_20</w:t>
      </w:r>
      <w:r w:rsidR="0048381F">
        <w:rPr>
          <w:rStyle w:val="Intensievebenadrukking"/>
        </w:rPr>
        <w:t xml:space="preserve">16_31 updated in September 2018 </w:t>
      </w:r>
      <w:r w:rsidR="009857FC">
        <w:rPr>
          <w:rStyle w:val="Intensievebenadrukking"/>
        </w:rPr>
        <w:t xml:space="preserve">and the Directive 2009/138/EC – Art. 48. </w:t>
      </w:r>
    </w:p>
    <w:p w14:paraId="3251B271" w14:textId="74309E36" w:rsidR="00124B21" w:rsidRDefault="009857FC" w:rsidP="00832FCE">
      <w:pPr>
        <w:rPr>
          <w:rStyle w:val="Intensievebenadrukking"/>
        </w:rPr>
      </w:pPr>
      <w:r>
        <w:rPr>
          <w:rStyle w:val="Intensievebenadrukking"/>
        </w:rPr>
        <w:t>T</w:t>
      </w:r>
      <w:r w:rsidR="00124B21">
        <w:rPr>
          <w:rStyle w:val="Intensievebenadrukking"/>
        </w:rPr>
        <w:t>he content of the Actuarial Function assessment reports may t</w:t>
      </w:r>
      <w:r>
        <w:rPr>
          <w:rStyle w:val="Intensievebenadrukking"/>
        </w:rPr>
        <w:t>reat several subjects together.</w:t>
      </w:r>
    </w:p>
    <w:p w14:paraId="1D0A2A5E" w14:textId="055A63AA" w:rsidR="00832FCE" w:rsidRDefault="003505BE" w:rsidP="00832FCE">
      <w:pPr>
        <w:rPr>
          <w:rStyle w:val="Intensievebenadrukking"/>
        </w:rPr>
      </w:pPr>
      <w:r>
        <w:rPr>
          <w:rStyle w:val="Intensievebenadrukking"/>
        </w:rPr>
        <w:t>It is structured as follows</w:t>
      </w:r>
      <w:r w:rsidR="006C75A0">
        <w:rPr>
          <w:rStyle w:val="Intensievebenadrukking"/>
        </w:rPr>
        <w:t>, by subject</w:t>
      </w:r>
      <w:r>
        <w:rPr>
          <w:rStyle w:val="Intensievebenadrukking"/>
        </w:rPr>
        <w:t>:</w:t>
      </w:r>
    </w:p>
    <w:p w14:paraId="2A082B52" w14:textId="3002F00E" w:rsidR="003505BE" w:rsidRDefault="003505BE" w:rsidP="003505BE">
      <w:pPr>
        <w:rPr>
          <w:rStyle w:val="Intensievebenadrukking"/>
        </w:rPr>
      </w:pPr>
      <w:r w:rsidRPr="003505BE">
        <w:rPr>
          <w:rStyle w:val="Intensievebenadrukking"/>
          <w:i w:val="0"/>
          <w:iCs w:val="0"/>
        </w:rPr>
        <w:t>-</w:t>
      </w:r>
      <w:r>
        <w:rPr>
          <w:rStyle w:val="Intensievebenadrukking"/>
        </w:rPr>
        <w:t xml:space="preserve"> Legal Requirements</w:t>
      </w:r>
      <w:r w:rsidR="00963F27">
        <w:rPr>
          <w:rStyle w:val="Intensievebenadrukking"/>
        </w:rPr>
        <w:t xml:space="preserve"> and what is expected from the Actuarial Function</w:t>
      </w:r>
      <w:r w:rsidR="006C75A0">
        <w:rPr>
          <w:rStyle w:val="Intensievebenadrukking"/>
        </w:rPr>
        <w:t>;</w:t>
      </w:r>
    </w:p>
    <w:p w14:paraId="1672B418" w14:textId="13E37CF7" w:rsidR="003505BE" w:rsidRDefault="00963F27" w:rsidP="003505BE">
      <w:pPr>
        <w:rPr>
          <w:rStyle w:val="Intensievebenadrukking"/>
        </w:rPr>
      </w:pPr>
      <w:r>
        <w:rPr>
          <w:rStyle w:val="Intensievebenadrukking"/>
        </w:rPr>
        <w:t>- Actuarial F</w:t>
      </w:r>
      <w:r w:rsidR="003505BE">
        <w:rPr>
          <w:rStyle w:val="Intensievebenadrukking"/>
        </w:rPr>
        <w:t>unction activities</w:t>
      </w:r>
      <w:r>
        <w:rPr>
          <w:rStyle w:val="Intensievebenadrukking"/>
        </w:rPr>
        <w:t xml:space="preserve"> during the year under review</w:t>
      </w:r>
      <w:r w:rsidR="006C75A0">
        <w:rPr>
          <w:rStyle w:val="Intensievebenadrukking"/>
        </w:rPr>
        <w:t>;</w:t>
      </w:r>
    </w:p>
    <w:p w14:paraId="4973C540" w14:textId="193DC11C" w:rsidR="00963F27" w:rsidRDefault="00963F27" w:rsidP="003505BE">
      <w:pPr>
        <w:rPr>
          <w:rStyle w:val="Intensievebenadrukking"/>
        </w:rPr>
      </w:pPr>
      <w:r>
        <w:rPr>
          <w:rStyle w:val="Intensievebenadrukking"/>
        </w:rPr>
        <w:t>- Summary of the assessment(s)</w:t>
      </w:r>
      <w:r w:rsidR="006C75A0">
        <w:rPr>
          <w:rStyle w:val="Intensievebenadrukking"/>
        </w:rPr>
        <w:t>;</w:t>
      </w:r>
    </w:p>
    <w:p w14:paraId="7962FB7E" w14:textId="71261D8B" w:rsidR="00963F27" w:rsidRDefault="00963F27" w:rsidP="003505BE">
      <w:pPr>
        <w:rPr>
          <w:rStyle w:val="Intensievebenadrukking"/>
        </w:rPr>
      </w:pPr>
      <w:r>
        <w:rPr>
          <w:rStyle w:val="Intensievebenadrukking"/>
        </w:rPr>
        <w:t>- New recommendations</w:t>
      </w:r>
      <w:r w:rsidR="006C75A0">
        <w:rPr>
          <w:rStyle w:val="Intensievebenadrukking"/>
        </w:rPr>
        <w:t>;</w:t>
      </w:r>
    </w:p>
    <w:p w14:paraId="65570968" w14:textId="5E485D8C" w:rsidR="00963F27" w:rsidRDefault="00963F27" w:rsidP="003505BE">
      <w:pPr>
        <w:rPr>
          <w:rStyle w:val="Intensievebenadrukking"/>
        </w:rPr>
      </w:pPr>
      <w:r>
        <w:rPr>
          <w:rStyle w:val="Intensievebenadrukking"/>
        </w:rPr>
        <w:t>- Follow-up of the recommendations from the previous years</w:t>
      </w:r>
      <w:r w:rsidR="006C75A0">
        <w:rPr>
          <w:rStyle w:val="Intensievebenadrukking"/>
        </w:rPr>
        <w:t>.</w:t>
      </w:r>
    </w:p>
    <w:p w14:paraId="5710C5B4" w14:textId="1620B16D" w:rsidR="00832FCE" w:rsidRDefault="00832FCE" w:rsidP="00832FCE"/>
    <w:p w14:paraId="408557D3" w14:textId="45B6EEC7" w:rsidR="00F933E3" w:rsidRDefault="00F933E3" w:rsidP="00F933E3">
      <w:pPr>
        <w:pStyle w:val="Kop2"/>
      </w:pPr>
      <w:bookmarkStart w:id="15" w:name="_Toc508793703"/>
      <w:r>
        <w:t>5.1. Technical Provisions</w:t>
      </w:r>
      <w:bookmarkEnd w:id="15"/>
    </w:p>
    <w:p w14:paraId="56870840" w14:textId="77777777" w:rsidR="00F933E3" w:rsidRDefault="00F933E3" w:rsidP="00F933E3">
      <w:bookmarkStart w:id="16" w:name="_Toc508793704"/>
      <w:r w:rsidRPr="0048381F">
        <w:t>This section belongs to the minimal elements that must be reported in the Annual Actuarial Function Report according the Circular NBB_2016_31 updated in September 2018.</w:t>
      </w:r>
    </w:p>
    <w:p w14:paraId="15546DD9" w14:textId="77777777" w:rsidR="00F933E3" w:rsidRPr="0078010F" w:rsidRDefault="00F933E3" w:rsidP="00F933E3"/>
    <w:p w14:paraId="6306D534" w14:textId="69269976" w:rsidR="00F933E3" w:rsidRDefault="00F933E3" w:rsidP="00F933E3">
      <w:pPr>
        <w:pStyle w:val="Kop3"/>
      </w:pPr>
      <w:r>
        <w:t>5.</w:t>
      </w:r>
      <w:r w:rsidR="00E46AF3">
        <w:t>1</w:t>
      </w:r>
      <w:r>
        <w:t xml:space="preserve">.1. Legal requirements </w:t>
      </w:r>
      <w:bookmarkEnd w:id="16"/>
    </w:p>
    <w:p w14:paraId="182E0EA6" w14:textId="77777777" w:rsidR="00F933E3" w:rsidRDefault="00F933E3" w:rsidP="00F933E3">
      <w:r>
        <w:t>The Solvency II regulation regarding the Technical Provisions and the Actuarial Function’s role and responsibility in assessing their calculation is laid down in the documents listed in the annex.</w:t>
      </w:r>
    </w:p>
    <w:p w14:paraId="39F4B937" w14:textId="721B0103" w:rsidR="00F933E3" w:rsidRDefault="00F933E3" w:rsidP="00F933E3"/>
    <w:p w14:paraId="1102CE1F" w14:textId="7BF80EFD" w:rsidR="00E46AF3" w:rsidRDefault="00E46AF3" w:rsidP="00E46AF3">
      <w:pPr>
        <w:pStyle w:val="Kop4"/>
      </w:pPr>
      <w:r>
        <w:t>A. Technical Provisions</w:t>
      </w:r>
    </w:p>
    <w:p w14:paraId="7C7254AF" w14:textId="77777777" w:rsidR="00F933E3" w:rsidRDefault="00F933E3" w:rsidP="00F933E3">
      <w:r>
        <w:t>The applicable regulation states that, complementary to the Data Quality and models &amp; assumptions assessments, the</w:t>
      </w:r>
      <w:r w:rsidRPr="00792D08">
        <w:t xml:space="preserve"> Actuarial Function </w:t>
      </w:r>
      <w:r>
        <w:t>shall assess the adequacy and reliability of the amount of Technical Provisions through:</w:t>
      </w:r>
    </w:p>
    <w:p w14:paraId="4927B862" w14:textId="77777777" w:rsidR="00F933E3" w:rsidRDefault="00F933E3" w:rsidP="00F933E3">
      <w:pPr>
        <w:pStyle w:val="Bullet1"/>
      </w:pPr>
      <w:r>
        <w:t>The coordination/supervision of the calculation of Technical Provisions, i.e. to:</w:t>
      </w:r>
    </w:p>
    <w:p w14:paraId="13D9565B" w14:textId="77777777" w:rsidR="00F933E3" w:rsidRPr="005F14CD" w:rsidRDefault="00F933E3" w:rsidP="00F933E3">
      <w:pPr>
        <w:pStyle w:val="Bullet2"/>
      </w:pPr>
      <w:r w:rsidRPr="005F14CD">
        <w:t xml:space="preserve">apply methodologies and procedures to assess the sufficiency of </w:t>
      </w:r>
      <w:r>
        <w:t>Technical Provision</w:t>
      </w:r>
      <w:r w:rsidRPr="005F14CD">
        <w:t xml:space="preserve">s and to ensure that their calculation is consistent with the requirements set out in Articles </w:t>
      </w:r>
      <w:r>
        <w:t>123 to 139 of the Belgian Solvency II Law</w:t>
      </w:r>
      <w:r w:rsidRPr="005F14CD">
        <w:t xml:space="preserve">; </w:t>
      </w:r>
    </w:p>
    <w:p w14:paraId="13D290DE" w14:textId="77777777" w:rsidR="00F933E3" w:rsidRPr="005F14CD" w:rsidRDefault="00F933E3" w:rsidP="00F933E3">
      <w:pPr>
        <w:pStyle w:val="Bullet2"/>
      </w:pPr>
      <w:r w:rsidRPr="005F14CD">
        <w:t xml:space="preserve">assess the uncertainty associated with the estimates made in the calculation of </w:t>
      </w:r>
      <w:r>
        <w:t>Technical Provision</w:t>
      </w:r>
      <w:r w:rsidRPr="005F14CD">
        <w:t>s;</w:t>
      </w:r>
    </w:p>
    <w:p w14:paraId="100C43C8" w14:textId="77777777" w:rsidR="00F933E3" w:rsidRPr="005F14CD" w:rsidRDefault="00F933E3" w:rsidP="00F933E3">
      <w:pPr>
        <w:pStyle w:val="Bullet2"/>
      </w:pPr>
      <w:r w:rsidRPr="005F14CD">
        <w:t xml:space="preserve">ensure that any limitations of data used to calculate </w:t>
      </w:r>
      <w:r>
        <w:t>Technical Provision</w:t>
      </w:r>
      <w:r w:rsidRPr="005F14CD">
        <w:t>s are properly dealt with;</w:t>
      </w:r>
    </w:p>
    <w:p w14:paraId="41910CCC" w14:textId="77777777" w:rsidR="00F933E3" w:rsidRPr="005F14CD" w:rsidRDefault="00F933E3" w:rsidP="00F933E3">
      <w:pPr>
        <w:pStyle w:val="Bullet2"/>
      </w:pPr>
      <w:r w:rsidRPr="005F14CD">
        <w:t xml:space="preserve">ensure that the most appropriate approximations for the purposes of calculating the best estimate are used in cases referred to in Article </w:t>
      </w:r>
      <w:r>
        <w:t>139 of the Belgian Solvency II Law</w:t>
      </w:r>
      <w:r w:rsidRPr="005F14CD">
        <w:t xml:space="preserve">; </w:t>
      </w:r>
    </w:p>
    <w:p w14:paraId="74A4D056" w14:textId="77777777" w:rsidR="00F933E3" w:rsidRPr="005F14CD" w:rsidRDefault="00F933E3" w:rsidP="00F933E3">
      <w:pPr>
        <w:pStyle w:val="Bullet2"/>
      </w:pPr>
      <w:r w:rsidRPr="005F14CD">
        <w:t xml:space="preserve">ensure that homogeneous risk groups of insurance and reinsurance obligations are identified for an appropriate assessment of the underlying risks; </w:t>
      </w:r>
    </w:p>
    <w:p w14:paraId="71D97876" w14:textId="77777777" w:rsidR="00F933E3" w:rsidRPr="005F14CD" w:rsidRDefault="00F933E3" w:rsidP="00F933E3">
      <w:pPr>
        <w:pStyle w:val="Bullet2"/>
      </w:pPr>
      <w:r w:rsidRPr="005F14CD">
        <w:t xml:space="preserve">consider relevant information provided by financial markets and generally available data on underwriting risks and ensure that it is integrated into the assessment of </w:t>
      </w:r>
      <w:r>
        <w:t>Technical Provision</w:t>
      </w:r>
      <w:r w:rsidRPr="005F14CD">
        <w:t xml:space="preserve">s; </w:t>
      </w:r>
    </w:p>
    <w:p w14:paraId="3EEF4592" w14:textId="77777777" w:rsidR="00F933E3" w:rsidRPr="005F14CD" w:rsidRDefault="00F933E3" w:rsidP="00F933E3">
      <w:pPr>
        <w:pStyle w:val="Bullet2"/>
      </w:pPr>
      <w:r>
        <w:t>describe the events that occurred during the period and that have influenced the Technical Provisions (large losses, change of the legislation,…);</w:t>
      </w:r>
    </w:p>
    <w:p w14:paraId="7C4CD1DE" w14:textId="5C78E30C" w:rsidR="00F933E3" w:rsidRPr="00B06172" w:rsidRDefault="00F933E3" w:rsidP="00F933E3">
      <w:pPr>
        <w:pStyle w:val="Bullet2"/>
      </w:pPr>
      <w:r w:rsidRPr="005F14CD">
        <w:t xml:space="preserve">compare and justify any material differences in the calculation of </w:t>
      </w:r>
      <w:r>
        <w:t>Technical Provision</w:t>
      </w:r>
      <w:r w:rsidRPr="005F14CD">
        <w:t xml:space="preserve">s from year to </w:t>
      </w:r>
      <w:r w:rsidRPr="00B06172">
        <w:t>year</w:t>
      </w:r>
      <w:r w:rsidR="003239E1" w:rsidRPr="00B06172">
        <w:t xml:space="preserve"> based</w:t>
      </w:r>
      <w:r w:rsidR="004547B3" w:rsidRPr="00B06172">
        <w:t xml:space="preserve"> on </w:t>
      </w:r>
      <w:r w:rsidR="003239E1" w:rsidRPr="00B06172">
        <w:t xml:space="preserve">the review of </w:t>
      </w:r>
      <w:r w:rsidRPr="00B06172">
        <w:t>the reconciliation</w:t>
      </w:r>
      <w:r w:rsidR="003239E1" w:rsidRPr="00B06172">
        <w:t xml:space="preserve"> and the analysis of movements</w:t>
      </w:r>
      <w:r w:rsidRPr="00B06172">
        <w:t xml:space="preserve"> of the technical provisions from the previous financial year to the end of the current financial year; </w:t>
      </w:r>
    </w:p>
    <w:p w14:paraId="2A1C3E11" w14:textId="77777777" w:rsidR="00F933E3" w:rsidRPr="00B06172" w:rsidRDefault="00F933E3" w:rsidP="00F933E3">
      <w:pPr>
        <w:pStyle w:val="Bullet2"/>
      </w:pPr>
      <w:r w:rsidRPr="00B06172">
        <w:t>ensure that an appropriate assessment is provided of options and guarantees included in insurance and reinsurance contracts.</w:t>
      </w:r>
    </w:p>
    <w:p w14:paraId="1885D4F1" w14:textId="77777777" w:rsidR="00F933E3" w:rsidRPr="006D375D" w:rsidRDefault="00F933E3" w:rsidP="00F933E3">
      <w:pPr>
        <w:pStyle w:val="Indent1"/>
      </w:pPr>
      <w:r w:rsidRPr="00B06172">
        <w:rPr>
          <w:u w:val="single"/>
        </w:rPr>
        <w:t>Remark:</w:t>
      </w:r>
      <w:r w:rsidRPr="00B06172">
        <w:t xml:space="preserve"> this task relates to the Technical</w:t>
      </w:r>
      <w:r w:rsidRPr="003239E1">
        <w:t xml:space="preserve"> Provisions as a whole, i.e. the best estimate of liabilities and the risk margin. With respect to the last one, although the calculation of the single risk capitals that composed the SCR is under the responsibility of the Risk Management Function, the Actuarial Function has to perform general checks on the modules cited in article 38 of Delegated Act 2015/35.</w:t>
      </w:r>
    </w:p>
    <w:p w14:paraId="6146CEF5" w14:textId="77777777" w:rsidR="00F933E3" w:rsidRDefault="00F933E3" w:rsidP="00F933E3">
      <w:pPr>
        <w:pStyle w:val="Bullet1"/>
      </w:pPr>
      <w:r>
        <w:t xml:space="preserve">The comparison of Best Estimates against experience that corresponds to the </w:t>
      </w:r>
      <w:r w:rsidRPr="0094415B">
        <w:t>review</w:t>
      </w:r>
      <w:r>
        <w:t xml:space="preserve"> of</w:t>
      </w:r>
      <w:r w:rsidRPr="0094415B">
        <w:t xml:space="preserve"> the quality of past best estimates and use the insights gained from this assessment to improve the quality of current calculations. The comparison of best estimates against experience include</w:t>
      </w:r>
      <w:r>
        <w:t>s</w:t>
      </w:r>
      <w:r w:rsidRPr="0094415B">
        <w:t xml:space="preserve"> comparisons between observed values and the estimates underlying the calculation of the best estimate, in order to draw </w:t>
      </w:r>
      <w:r w:rsidRPr="0094415B">
        <w:lastRenderedPageBreak/>
        <w:t>conclusions on the appropriateness, accuracy and completeness of the data and assumptions used as well as on the methodologi</w:t>
      </w:r>
      <w:r>
        <w:t>es applied in their calculation.</w:t>
      </w:r>
    </w:p>
    <w:p w14:paraId="747E69B0" w14:textId="77777777" w:rsidR="00F933E3" w:rsidRDefault="00F933E3" w:rsidP="00F933E3"/>
    <w:p w14:paraId="05320EC2" w14:textId="0CEDD7FA" w:rsidR="00E46AF3" w:rsidRDefault="00E46AF3" w:rsidP="00E46AF3">
      <w:pPr>
        <w:pStyle w:val="Kop4"/>
      </w:pPr>
      <w:r>
        <w:t>B. Data Quality</w:t>
      </w:r>
    </w:p>
    <w:p w14:paraId="623432B5" w14:textId="77777777" w:rsidR="00E46AF3" w:rsidRDefault="00E46AF3" w:rsidP="00E46AF3">
      <w:r>
        <w:t xml:space="preserve">Under the general Solvency II framework, stakeholders must </w:t>
      </w:r>
      <w:r w:rsidRPr="00020006">
        <w:t xml:space="preserve">have internal </w:t>
      </w:r>
      <w:r>
        <w:t xml:space="preserve">documented </w:t>
      </w:r>
      <w:r w:rsidRPr="00020006">
        <w:t>processes and procedures in place to ensure the appropriateness, completeness and accuracy of the data used in the calculatio</w:t>
      </w:r>
      <w:r>
        <w:t>n of their Technical Provisions. The Belgian regulation specifies in the Circular NBB_2017_27 of 12/10/2017 that the Data Quality must be assessed for accuracy, reliability, completeness, consistency, plausibility and time of transmission.</w:t>
      </w:r>
    </w:p>
    <w:p w14:paraId="078A3F78" w14:textId="77777777" w:rsidR="00E46AF3" w:rsidRDefault="00E46AF3" w:rsidP="00E46AF3"/>
    <w:p w14:paraId="5DB19FC8" w14:textId="77777777" w:rsidR="00E46AF3" w:rsidRDefault="00E46AF3" w:rsidP="00E46AF3">
      <w:r>
        <w:t xml:space="preserve">As an independent second line controlling function, the </w:t>
      </w:r>
      <w:r w:rsidRPr="00792D08">
        <w:t xml:space="preserve">Actuarial Function </w:t>
      </w:r>
      <w:r>
        <w:t xml:space="preserve">contributes, in cooperation with the Data Quality Officer, to the Data Quality framework as described in the Data Quality Policy of the company. The Actuarial Function holder must </w:t>
      </w:r>
      <w:r w:rsidRPr="00792D08">
        <w:t xml:space="preserve">assess the sufficiency and quality of the data used in the calculation of </w:t>
      </w:r>
      <w:r>
        <w:t>Technical Provision</w:t>
      </w:r>
      <w:r w:rsidRPr="00792D08">
        <w:t>s</w:t>
      </w:r>
      <w:r>
        <w:t xml:space="preserve"> and assumptions </w:t>
      </w:r>
      <w:r w:rsidRPr="00274608">
        <w:t xml:space="preserve">against the </w:t>
      </w:r>
      <w:r>
        <w:t>Data Quality standards as defined</w:t>
      </w:r>
      <w:r w:rsidRPr="00274608">
        <w:t xml:space="preserve"> in Solvency II</w:t>
      </w:r>
      <w:r>
        <w:t xml:space="preserve"> and he/she must assess as well </w:t>
      </w:r>
      <w:r w:rsidRPr="009A5F80">
        <w:t xml:space="preserve">whether the information technology systems used in the calculation of </w:t>
      </w:r>
      <w:r>
        <w:t>Technical Provision</w:t>
      </w:r>
      <w:r w:rsidRPr="009A5F80">
        <w:t>s sufficiently support the actuarial and statistical procedures.</w:t>
      </w:r>
      <w:r>
        <w:t xml:space="preserve"> </w:t>
      </w:r>
      <w:r w:rsidRPr="00274608">
        <w:t xml:space="preserve">Where relevant, the </w:t>
      </w:r>
      <w:r>
        <w:t>A</w:t>
      </w:r>
      <w:r w:rsidRPr="00274608">
        <w:t xml:space="preserve">ctuarial </w:t>
      </w:r>
      <w:r>
        <w:t>F</w:t>
      </w:r>
      <w:r w:rsidRPr="00274608">
        <w:t>unction provide</w:t>
      </w:r>
      <w:r>
        <w:t>s</w:t>
      </w:r>
      <w:r w:rsidRPr="00274608">
        <w:t xml:space="preserve"> recommendations on internal procedures to improve </w:t>
      </w:r>
      <w:r>
        <w:t>Data Quality</w:t>
      </w:r>
      <w:r w:rsidRPr="00274608">
        <w:t xml:space="preserve"> so as to ensure that the </w:t>
      </w:r>
      <w:r>
        <w:t xml:space="preserve">undertaking is in a position </w:t>
      </w:r>
      <w:r w:rsidRPr="00274608">
        <w:t>comply</w:t>
      </w:r>
      <w:r>
        <w:t>ing</w:t>
      </w:r>
      <w:r w:rsidRPr="00274608">
        <w:t xml:space="preserve"> with the Solvency II framework</w:t>
      </w:r>
      <w:r>
        <w:t xml:space="preserve"> and there is sufficient comfort in the quality of the data used for valuing the parameters and Technical Provisions.</w:t>
      </w:r>
    </w:p>
    <w:p w14:paraId="0B7C6E95" w14:textId="3336AF63" w:rsidR="00E46AF3" w:rsidRDefault="00E46AF3" w:rsidP="00F933E3"/>
    <w:p w14:paraId="0416C990" w14:textId="0406BF09" w:rsidR="00E46AF3" w:rsidRDefault="00E46AF3" w:rsidP="00E46AF3">
      <w:pPr>
        <w:pStyle w:val="Kop4"/>
      </w:pPr>
      <w:r>
        <w:t>C. Models and Assumptions</w:t>
      </w:r>
    </w:p>
    <w:p w14:paraId="478CFA0B" w14:textId="77777777" w:rsidR="00E46AF3" w:rsidRDefault="00E46AF3" w:rsidP="00E46AF3">
      <w:r>
        <w:t xml:space="preserve">As an independent second line controlling function, the Actuarial Function reviews the assumptions and models changes set during the regular Models and Assumptions changes cycle or on an ad hoc basis. Namely, the Actuarial Function ensures that the calculation process has been correctly performed on data of sufficient quality and shows satisfying results, the impact of changes is well explained, a back-testing has been performed and the impact on the results and their sensitivity to the changes on the Technical Provisions are measured. </w:t>
      </w:r>
    </w:p>
    <w:p w14:paraId="06615E47" w14:textId="3638235C" w:rsidR="00E46AF3" w:rsidRDefault="003239E1" w:rsidP="00E46AF3">
      <w:r>
        <w:t>If neither</w:t>
      </w:r>
      <w:r w:rsidR="00E46AF3">
        <w:t xml:space="preserve"> model nor parameters changes occurred, the Actuarial Function assesses the back-testing and reviews the sensitivity of the Technical Provisions to the used parameters.</w:t>
      </w:r>
    </w:p>
    <w:p w14:paraId="606A7AF2" w14:textId="57EBB846" w:rsidR="00E46AF3" w:rsidRDefault="00E46AF3" w:rsidP="00E46AF3">
      <w:r>
        <w:t>Finally, it assesses the acceptability of the model</w:t>
      </w:r>
      <w:r w:rsidR="003239E1">
        <w:t>s</w:t>
      </w:r>
      <w:r>
        <w:t xml:space="preserve"> and assumptions. </w:t>
      </w:r>
    </w:p>
    <w:p w14:paraId="11DB7239" w14:textId="13B93EBA" w:rsidR="00E46AF3" w:rsidRDefault="00E46AF3" w:rsidP="00F933E3"/>
    <w:p w14:paraId="44A82C4D" w14:textId="6C344CE0" w:rsidR="00E46AF3" w:rsidRDefault="009D22EC" w:rsidP="009D22EC">
      <w:pPr>
        <w:pStyle w:val="Kop4"/>
      </w:pPr>
      <w:r>
        <w:t>D. BEGAAP reserves</w:t>
      </w:r>
    </w:p>
    <w:p w14:paraId="3370B3C7" w14:textId="291B9313" w:rsidR="009D22EC" w:rsidRDefault="009D22EC" w:rsidP="009D22EC">
      <w:r>
        <w:t xml:space="preserve">The Actuarial Function provides </w:t>
      </w:r>
      <w:r w:rsidRPr="006F24EA">
        <w:t xml:space="preserve">an </w:t>
      </w:r>
      <w:r>
        <w:t>o</w:t>
      </w:r>
      <w:r w:rsidRPr="006F24EA">
        <w:t>pinion on BEGA</w:t>
      </w:r>
      <w:r>
        <w:t>AP Technical Provision</w:t>
      </w:r>
      <w:r w:rsidRPr="006F24EA">
        <w:t>s according the Belgian Royal Decree 17/11/1994 on annual accounts of insu</w:t>
      </w:r>
      <w:r>
        <w:t>rance and reinsurance companies.</w:t>
      </w:r>
    </w:p>
    <w:p w14:paraId="32487C3E" w14:textId="363183FC" w:rsidR="009D22EC" w:rsidRDefault="009D22EC" w:rsidP="009D22EC"/>
    <w:p w14:paraId="5CAD75E6" w14:textId="40CE0137" w:rsidR="009D22EC" w:rsidRDefault="009D22EC" w:rsidP="009D22EC">
      <w:r>
        <w:t>If the company must allocate a complementary provision to the Flashing Light</w:t>
      </w:r>
      <w:r w:rsidR="003239E1">
        <w:rPr>
          <w:rStyle w:val="Voetnootmarkering"/>
        </w:rPr>
        <w:footnoteReference w:id="1"/>
      </w:r>
      <w:r w:rsidRPr="00A02759">
        <w:t xml:space="preserve"> reserve, the Actuarial Function must </w:t>
      </w:r>
      <w:r>
        <w:t>attest that the allocated amount is consistent with the 17/11/1994 Royal Decree.</w:t>
      </w:r>
      <w:r w:rsidRPr="00A02759">
        <w:t xml:space="preserve"> </w:t>
      </w:r>
      <w:r w:rsidRPr="00205559">
        <w:t xml:space="preserve">Otherwise, the Actuarial Function has to explain why no complementary provision </w:t>
      </w:r>
      <w:r>
        <w:t xml:space="preserve">is </w:t>
      </w:r>
      <w:r w:rsidRPr="00205559">
        <w:t>need</w:t>
      </w:r>
      <w:r>
        <w:t>ed</w:t>
      </w:r>
      <w:r w:rsidRPr="00205559">
        <w:t xml:space="preserve">.  </w:t>
      </w:r>
    </w:p>
    <w:p w14:paraId="24A12687" w14:textId="479222C8" w:rsidR="009D22EC" w:rsidRDefault="009D22EC" w:rsidP="009D22EC"/>
    <w:p w14:paraId="4C4D3E7A" w14:textId="26DAB0CF" w:rsidR="003239E1" w:rsidRDefault="003239E1" w:rsidP="003239E1">
      <w:pPr>
        <w:pStyle w:val="Kop4"/>
      </w:pPr>
      <w:r>
        <w:t>E. Transfer of portfolio</w:t>
      </w:r>
    </w:p>
    <w:p w14:paraId="05AD9D2F" w14:textId="358B0B97" w:rsidR="009D22EC" w:rsidRPr="006F24EA" w:rsidRDefault="009D22EC" w:rsidP="009D22EC">
      <w:r>
        <w:t>In case of transfer of an insurance or reinsurance portfolio to another party, the Actuarial Function must provide a report on the Technical Provisions of the transferred portfolio and an assessment on the impact of this transfer on the total Technical Provisions of the undertaking.</w:t>
      </w:r>
    </w:p>
    <w:p w14:paraId="6B50E323" w14:textId="77777777" w:rsidR="00E46AF3" w:rsidRDefault="00E46AF3" w:rsidP="00F933E3"/>
    <w:p w14:paraId="19C72537" w14:textId="5B0B85D9" w:rsidR="00F933E3" w:rsidRDefault="000A0FA8" w:rsidP="00F933E3">
      <w:pPr>
        <w:pStyle w:val="Kop3"/>
      </w:pPr>
      <w:bookmarkStart w:id="17" w:name="_Toc508793705"/>
      <w:r>
        <w:t>5.1</w:t>
      </w:r>
      <w:r w:rsidR="00F933E3">
        <w:t xml:space="preserve">.2. Actuarial Function Activities on Technical Provisions in </w:t>
      </w:r>
      <w:bookmarkEnd w:id="17"/>
      <w:r w:rsidR="00F933E3">
        <w:t>YYYY</w:t>
      </w:r>
    </w:p>
    <w:p w14:paraId="07EB792A" w14:textId="77777777" w:rsidR="00F933E3" w:rsidRDefault="00F933E3" w:rsidP="00F933E3">
      <w:pPr>
        <w:rPr>
          <w:rStyle w:val="Intensievebenadrukking"/>
        </w:rPr>
      </w:pPr>
      <w:r>
        <w:rPr>
          <w:rStyle w:val="Intensievebenadrukking"/>
        </w:rPr>
        <w:t>List of Actuarial Function activities during the year.</w:t>
      </w:r>
    </w:p>
    <w:p w14:paraId="6F93ECFD" w14:textId="77777777" w:rsidR="00F933E3" w:rsidRDefault="00F933E3" w:rsidP="00F933E3">
      <w:pPr>
        <w:rPr>
          <w:rStyle w:val="Intensievebenadrukking"/>
        </w:rPr>
      </w:pPr>
      <w:r>
        <w:rPr>
          <w:rStyle w:val="Intensievebenadrukking"/>
        </w:rPr>
        <w:t>References of the reports.</w:t>
      </w:r>
    </w:p>
    <w:p w14:paraId="18F7909C" w14:textId="77777777" w:rsidR="00F933E3" w:rsidRPr="00E67B21" w:rsidRDefault="00F933E3" w:rsidP="00F933E3"/>
    <w:p w14:paraId="72BE8AF7" w14:textId="68F4AA50" w:rsidR="009F51E9" w:rsidRDefault="000A0FA8" w:rsidP="00F933E3">
      <w:pPr>
        <w:pStyle w:val="Kop3"/>
      </w:pPr>
      <w:bookmarkStart w:id="18" w:name="_Toc508793706"/>
      <w:r>
        <w:lastRenderedPageBreak/>
        <w:t>5.1</w:t>
      </w:r>
      <w:r w:rsidR="00F933E3">
        <w:t xml:space="preserve">.3. </w:t>
      </w:r>
      <w:r w:rsidR="009F51E9">
        <w:t>Assessment on Technical Provisions</w:t>
      </w:r>
    </w:p>
    <w:p w14:paraId="7E90A47F" w14:textId="564DA8EC" w:rsidR="009F51E9" w:rsidRDefault="009F51E9" w:rsidP="009F51E9">
      <w:pPr>
        <w:pStyle w:val="Kop4"/>
      </w:pPr>
      <w:r>
        <w:t>A. Assessment on the Data Quality</w:t>
      </w:r>
    </w:p>
    <w:p w14:paraId="6A55D7D2" w14:textId="77777777" w:rsidR="009F51E9" w:rsidRDefault="009F51E9" w:rsidP="009F51E9">
      <w:pPr>
        <w:rPr>
          <w:rStyle w:val="Intensievebenadrukking"/>
        </w:rPr>
      </w:pPr>
      <w:r>
        <w:rPr>
          <w:rStyle w:val="Intensievebenadrukking"/>
        </w:rPr>
        <w:t>Executive summary of the report(s) that the Actuarial Function produced during the year.</w:t>
      </w:r>
    </w:p>
    <w:p w14:paraId="5986E043" w14:textId="1D067648" w:rsidR="009F51E9" w:rsidRDefault="009F51E9" w:rsidP="009F51E9"/>
    <w:p w14:paraId="1BF45BEF" w14:textId="4FDE3B3F" w:rsidR="009F51E9" w:rsidRDefault="009F51E9" w:rsidP="009F51E9">
      <w:pPr>
        <w:pStyle w:val="Kop4"/>
      </w:pPr>
      <w:r>
        <w:t>B. Assessment on the Models and Assumptions in YYYY</w:t>
      </w:r>
    </w:p>
    <w:p w14:paraId="18FD2DBD" w14:textId="77777777" w:rsidR="009F51E9" w:rsidRDefault="009F51E9" w:rsidP="009F51E9">
      <w:pPr>
        <w:rPr>
          <w:rStyle w:val="Intensievebenadrukking"/>
        </w:rPr>
      </w:pPr>
      <w:r>
        <w:rPr>
          <w:rStyle w:val="Intensievebenadrukking"/>
        </w:rPr>
        <w:t>Executive summary of the report(s) that the Actuarial Function produced during the year.</w:t>
      </w:r>
    </w:p>
    <w:p w14:paraId="1B93D141" w14:textId="77777777" w:rsidR="009F51E9" w:rsidRDefault="009F51E9" w:rsidP="009F51E9"/>
    <w:p w14:paraId="07F509B7" w14:textId="77777777" w:rsidR="009F51E9" w:rsidRDefault="009F51E9" w:rsidP="009F51E9">
      <w:pPr>
        <w:pStyle w:val="Kop4"/>
      </w:pPr>
      <w:r>
        <w:t>C. Assessment on the adequacy and reliability of Technical Provisions under Solvency II – Q4.YYYY</w:t>
      </w:r>
    </w:p>
    <w:p w14:paraId="5E8255BF" w14:textId="5E90CB38" w:rsidR="009F51E9" w:rsidRDefault="009F51E9" w:rsidP="009F51E9">
      <w:pPr>
        <w:rPr>
          <w:rStyle w:val="Intensievebenadrukking"/>
        </w:rPr>
      </w:pPr>
      <w:r>
        <w:rPr>
          <w:rStyle w:val="Intensievebenadrukking"/>
        </w:rPr>
        <w:t>Executive summary of the report(s) that the Actuarial Function produced during the year and final opinion on the adequacy of the SII Technical Provisions.</w:t>
      </w:r>
    </w:p>
    <w:p w14:paraId="48DE3B85" w14:textId="4F3458BF" w:rsidR="009F51E9" w:rsidRDefault="009F51E9" w:rsidP="009F51E9"/>
    <w:p w14:paraId="7CB1287A" w14:textId="77777777" w:rsidR="009F51E9" w:rsidRDefault="009F51E9" w:rsidP="009F51E9">
      <w:pPr>
        <w:pStyle w:val="Kop4"/>
      </w:pPr>
      <w:r>
        <w:t xml:space="preserve">D. Assessment on the </w:t>
      </w:r>
      <w:bookmarkStart w:id="19" w:name="_Toc508793707"/>
      <w:r>
        <w:t>a</w:t>
      </w:r>
      <w:r w:rsidRPr="009F51E9">
        <w:t>dequacy</w:t>
      </w:r>
      <w:r>
        <w:t xml:space="preserve"> and reliability of Technical Provision</w:t>
      </w:r>
      <w:r w:rsidRPr="00657213">
        <w:t xml:space="preserve">s under </w:t>
      </w:r>
      <w:r>
        <w:t>BEGAAP</w:t>
      </w:r>
      <w:r w:rsidRPr="00657213">
        <w:t xml:space="preserve"> – Q4.</w:t>
      </w:r>
      <w:bookmarkEnd w:id="19"/>
      <w:r>
        <w:t>YYYY</w:t>
      </w:r>
    </w:p>
    <w:p w14:paraId="263D883B" w14:textId="32AEDE82" w:rsidR="009F51E9" w:rsidRDefault="009F51E9" w:rsidP="009F51E9">
      <w:r>
        <w:rPr>
          <w:rStyle w:val="Intensievebenadrukking"/>
        </w:rPr>
        <w:t xml:space="preserve">Executive summary of the report(s) that the Actuarial Function produced during the year and final opinion on the adequacy of the </w:t>
      </w:r>
      <w:r w:rsidR="00276E7E">
        <w:rPr>
          <w:rStyle w:val="Intensievebenadrukking"/>
        </w:rPr>
        <w:t>BEGAAP</w:t>
      </w:r>
      <w:r>
        <w:rPr>
          <w:rStyle w:val="Intensievebenadrukking"/>
        </w:rPr>
        <w:t>I Technical Provisions.</w:t>
      </w:r>
      <w:r>
        <w:t xml:space="preserve"> </w:t>
      </w:r>
    </w:p>
    <w:p w14:paraId="0E4B7713" w14:textId="302F9B99" w:rsidR="009F51E9" w:rsidRDefault="009F51E9" w:rsidP="009F51E9"/>
    <w:p w14:paraId="62E2C267" w14:textId="76D843AA" w:rsidR="00276E7E" w:rsidRDefault="00276E7E" w:rsidP="00276E7E">
      <w:pPr>
        <w:pStyle w:val="Kop4"/>
      </w:pPr>
      <w:r>
        <w:t>E</w:t>
      </w:r>
      <w:r w:rsidRPr="00A8759B">
        <w:t>. Conclu</w:t>
      </w:r>
      <w:r>
        <w:t>sions on the Flashing Light</w:t>
      </w:r>
      <w:r w:rsidR="000A0FA8">
        <w:rPr>
          <w:rStyle w:val="Voetnootmarkering"/>
        </w:rPr>
        <w:footnoteReference w:id="2"/>
      </w:r>
      <w:r>
        <w:t xml:space="preserve"> Reserve</w:t>
      </w:r>
    </w:p>
    <w:p w14:paraId="3048DE62" w14:textId="241DAE83" w:rsidR="00276E7E" w:rsidRDefault="00276E7E" w:rsidP="00276E7E">
      <w:pPr>
        <w:rPr>
          <w:rStyle w:val="Intensievebenadrukking"/>
        </w:rPr>
      </w:pPr>
      <w:r>
        <w:rPr>
          <w:rStyle w:val="Intensievebenadrukking"/>
        </w:rPr>
        <w:t>If applicable, executive summary of the report(s) that the Actuarial Function produced during the year.</w:t>
      </w:r>
    </w:p>
    <w:p w14:paraId="2D711B71" w14:textId="48B04264" w:rsidR="009F51E9" w:rsidRDefault="009F51E9" w:rsidP="009F51E9"/>
    <w:p w14:paraId="2CEFE081" w14:textId="3E0E84C0" w:rsidR="00130D11" w:rsidRDefault="00130D11" w:rsidP="00207520">
      <w:pPr>
        <w:pStyle w:val="Kop4"/>
      </w:pPr>
      <w:r>
        <w:t>F. Conclusions on a transferred portfolio and its impact on the total Technical Provisions</w:t>
      </w:r>
    </w:p>
    <w:p w14:paraId="4E07A14D" w14:textId="29A91721" w:rsidR="00130D11" w:rsidRDefault="00207520" w:rsidP="009F51E9">
      <w:r>
        <w:t>In case of transfer of an insurance or reinsurance portfolio to another party, the Actuarial Function must provide a report on the Technical Provisions of the transferred portfolio and an assessment on the impact of this transfer on the total Technical Provisions of the undertaking.</w:t>
      </w:r>
    </w:p>
    <w:p w14:paraId="11D16B55" w14:textId="639469CB" w:rsidR="009F51E9" w:rsidRDefault="009F51E9" w:rsidP="009F51E9"/>
    <w:p w14:paraId="3CBF8827" w14:textId="2D67C8C7" w:rsidR="009F51E9" w:rsidRDefault="009F51E9" w:rsidP="009F51E9">
      <w:pPr>
        <w:rPr>
          <w:rStyle w:val="Intensievebenadrukking"/>
        </w:rPr>
      </w:pPr>
      <w:r>
        <w:rPr>
          <w:rStyle w:val="Intensievebenadrukking"/>
        </w:rPr>
        <w:t>Remark: guidance</w:t>
      </w:r>
      <w:r w:rsidR="00207520">
        <w:rPr>
          <w:rStyle w:val="Intensievebenadrukking"/>
        </w:rPr>
        <w:t xml:space="preserve"> w.r.t. the actuarial analyses</w:t>
      </w:r>
      <w:r>
        <w:rPr>
          <w:rStyle w:val="Intensievebenadrukking"/>
        </w:rPr>
        <w:t xml:space="preserve"> and the content of the Actuarial Function Report will be produced by the IABE working group on Actuarial Function.</w:t>
      </w:r>
    </w:p>
    <w:p w14:paraId="4F9BD6C0" w14:textId="645620DF" w:rsidR="009F51E9" w:rsidRDefault="009F51E9" w:rsidP="009F51E9"/>
    <w:p w14:paraId="5A69ECDA" w14:textId="0FE9A70B" w:rsidR="00F933E3" w:rsidRDefault="000A0FA8" w:rsidP="00F933E3">
      <w:pPr>
        <w:pStyle w:val="Kop3"/>
      </w:pPr>
      <w:bookmarkStart w:id="20" w:name="_Toc508793708"/>
      <w:bookmarkEnd w:id="18"/>
      <w:r>
        <w:t>5.1</w:t>
      </w:r>
      <w:r w:rsidR="00F933E3">
        <w:t>.</w:t>
      </w:r>
      <w:r>
        <w:t>4</w:t>
      </w:r>
      <w:r w:rsidR="00F933E3">
        <w:t>. Recommendations on Technical Provisions</w:t>
      </w:r>
      <w:bookmarkEnd w:id="20"/>
    </w:p>
    <w:p w14:paraId="2CB0448F" w14:textId="77777777" w:rsidR="00F933E3" w:rsidRDefault="00F933E3" w:rsidP="00F933E3">
      <w:pPr>
        <w:rPr>
          <w:rStyle w:val="Intensievebenadrukking"/>
        </w:rPr>
      </w:pPr>
      <w:r>
        <w:rPr>
          <w:rStyle w:val="Intensievebenadrukking"/>
        </w:rPr>
        <w:t>New recommendations.</w:t>
      </w:r>
    </w:p>
    <w:p w14:paraId="0142E1DE" w14:textId="77777777" w:rsidR="00F933E3" w:rsidRPr="00217451" w:rsidRDefault="00F933E3" w:rsidP="00F933E3"/>
    <w:p w14:paraId="7DDFB2CC" w14:textId="6C75C274" w:rsidR="00F933E3" w:rsidRDefault="000A0FA8" w:rsidP="00F933E3">
      <w:pPr>
        <w:pStyle w:val="Kop3"/>
      </w:pPr>
      <w:r>
        <w:t>5.1</w:t>
      </w:r>
      <w:r w:rsidR="00F933E3">
        <w:t>.</w:t>
      </w:r>
      <w:r>
        <w:t>5</w:t>
      </w:r>
      <w:r w:rsidR="00F933E3">
        <w:t>. Summary of outstanding recommendations of previous reports</w:t>
      </w:r>
    </w:p>
    <w:p w14:paraId="09DB4250" w14:textId="77777777" w:rsidR="00F933E3" w:rsidRDefault="00F933E3" w:rsidP="00F933E3">
      <w:pPr>
        <w:rPr>
          <w:rStyle w:val="Intensievebenadrukking"/>
        </w:rPr>
      </w:pPr>
      <w:r>
        <w:rPr>
          <w:rStyle w:val="Intensievebenadrukking"/>
        </w:rPr>
        <w:t>Follow-up on recommendations from previous years.</w:t>
      </w:r>
    </w:p>
    <w:p w14:paraId="1050B0F5" w14:textId="77777777" w:rsidR="001A0840" w:rsidRPr="00095BE2" w:rsidRDefault="001A0840" w:rsidP="00FE2E26">
      <w:bookmarkStart w:id="21" w:name="_Toc508793709"/>
    </w:p>
    <w:p w14:paraId="5B501BE8" w14:textId="3A318FF2" w:rsidR="00465DCE" w:rsidRDefault="00EB3084" w:rsidP="00833617">
      <w:pPr>
        <w:pStyle w:val="Kop2"/>
      </w:pPr>
      <w:bookmarkStart w:id="22" w:name="_Toc508793714"/>
      <w:bookmarkEnd w:id="21"/>
      <w:r>
        <w:t>5.2</w:t>
      </w:r>
      <w:r w:rsidR="00465DCE">
        <w:t>. Underwriting</w:t>
      </w:r>
      <w:bookmarkEnd w:id="22"/>
      <w:r w:rsidR="002048DA">
        <w:t xml:space="preserve"> &amp; Profitability</w:t>
      </w:r>
    </w:p>
    <w:p w14:paraId="5202DE0D" w14:textId="523F280F" w:rsidR="003D7142" w:rsidRDefault="003D7142" w:rsidP="003D7142">
      <w:bookmarkStart w:id="23" w:name="_Toc508793715"/>
      <w:r>
        <w:t xml:space="preserve">This section belongs to the minimal elements that must be reported in the Annual Actuarial Function Report according the </w:t>
      </w:r>
      <w:r w:rsidR="0048381F" w:rsidRPr="0048381F">
        <w:t>Circular NBB_2016_31 updated in September 2018.</w:t>
      </w:r>
    </w:p>
    <w:p w14:paraId="530D68F8" w14:textId="77777777" w:rsidR="003D7142" w:rsidRPr="0078010F" w:rsidRDefault="003D7142" w:rsidP="003D7142"/>
    <w:p w14:paraId="2B4B7404" w14:textId="72777306" w:rsidR="00465DCE" w:rsidRDefault="00EB3084" w:rsidP="00833617">
      <w:pPr>
        <w:pStyle w:val="Kop3"/>
      </w:pPr>
      <w:r>
        <w:t>5.2</w:t>
      </w:r>
      <w:r w:rsidR="00422F40">
        <w:t>.1. Legal requirements for</w:t>
      </w:r>
      <w:r w:rsidR="00BC508E">
        <w:t xml:space="preserve"> Underwriting</w:t>
      </w:r>
      <w:bookmarkEnd w:id="23"/>
      <w:r w:rsidR="002048DA">
        <w:t xml:space="preserve"> &amp; Profitability</w:t>
      </w:r>
    </w:p>
    <w:p w14:paraId="77C852D6" w14:textId="2A51D0FB" w:rsidR="006E79F1" w:rsidRDefault="005D4215" w:rsidP="006E79F1">
      <w:r w:rsidRPr="0048381F">
        <w:t xml:space="preserve">The Solvency II regulation regarding </w:t>
      </w:r>
      <w:r w:rsidR="00B352DE" w:rsidRPr="0048381F">
        <w:t xml:space="preserve">the Actuarial Function’s </w:t>
      </w:r>
      <w:r w:rsidRPr="0048381F">
        <w:t xml:space="preserve">role and responsibility </w:t>
      </w:r>
      <w:r w:rsidR="00B352DE" w:rsidRPr="0048381F">
        <w:t xml:space="preserve">in </w:t>
      </w:r>
      <w:r w:rsidRPr="0048381F">
        <w:t>assess</w:t>
      </w:r>
      <w:r w:rsidR="00B352DE" w:rsidRPr="0048381F">
        <w:t>ing</w:t>
      </w:r>
      <w:r w:rsidRPr="0048381F">
        <w:t xml:space="preserve"> the underwriting </w:t>
      </w:r>
      <w:r w:rsidR="00B352DE" w:rsidRPr="0048381F">
        <w:t>is</w:t>
      </w:r>
      <w:r w:rsidR="006E79F1" w:rsidRPr="0048381F">
        <w:t xml:space="preserve"> laid</w:t>
      </w:r>
      <w:r w:rsidRPr="0048381F">
        <w:t xml:space="preserve"> </w:t>
      </w:r>
      <w:r w:rsidR="006E79F1" w:rsidRPr="0048381F">
        <w:t xml:space="preserve">down in the documents listed </w:t>
      </w:r>
      <w:r w:rsidR="00B352DE" w:rsidRPr="0048381F">
        <w:t>in</w:t>
      </w:r>
      <w:r w:rsidR="006E79F1" w:rsidRPr="0048381F">
        <w:t xml:space="preserve"> the annex.</w:t>
      </w:r>
    </w:p>
    <w:p w14:paraId="3877B8B4" w14:textId="77777777" w:rsidR="006E79F1" w:rsidRDefault="006E79F1" w:rsidP="006E79F1"/>
    <w:p w14:paraId="3EB62252" w14:textId="77777777" w:rsidR="00540642" w:rsidRDefault="00540642" w:rsidP="00540642">
      <w:r>
        <w:t xml:space="preserve">The Actuarial Function must </w:t>
      </w:r>
      <w:r w:rsidR="005D4215" w:rsidRPr="005D4215">
        <w:t>express an opinion on the overall underwriting policy</w:t>
      </w:r>
      <w:r>
        <w:t xml:space="preserve"> that</w:t>
      </w:r>
      <w:r w:rsidR="00F00D0A" w:rsidRPr="00F00D0A">
        <w:t xml:space="preserve"> at least include</w:t>
      </w:r>
      <w:r>
        <w:t>s</w:t>
      </w:r>
      <w:r w:rsidR="00F00D0A" w:rsidRPr="00F00D0A">
        <w:t xml:space="preserve"> conclusions regarding: </w:t>
      </w:r>
    </w:p>
    <w:p w14:paraId="6C4F808C" w14:textId="43F96ECE" w:rsidR="00540642" w:rsidRDefault="001043E1" w:rsidP="00222E2E">
      <w:pPr>
        <w:pStyle w:val="Bullet1"/>
      </w:pPr>
      <w:r>
        <w:t xml:space="preserve">The </w:t>
      </w:r>
      <w:r w:rsidR="00F00D0A" w:rsidRPr="00F00D0A">
        <w:t>sufficiency of the premiums to be earned to cover future claims and expenses, notably taking into consideration the underlying risks (including underwriting risks), and the impact of options and guarantees included in insurance and reinsurance contracts on the sufficiency of premiums;</w:t>
      </w:r>
    </w:p>
    <w:p w14:paraId="4103761E" w14:textId="1E6351F8" w:rsidR="00540642" w:rsidRDefault="001043E1" w:rsidP="0096219E">
      <w:pPr>
        <w:pStyle w:val="Bullet1"/>
      </w:pPr>
      <w:r>
        <w:t>T</w:t>
      </w:r>
      <w:r w:rsidR="00F00D0A" w:rsidRPr="00F00D0A">
        <w:t>he effect of inflation, legal risk, change in the composition of the undertaking's portfolio, and of systems w</w:t>
      </w:r>
      <w:r w:rsidR="00B352DE">
        <w:t>hich adjust the premiums policy</w:t>
      </w:r>
      <w:r w:rsidR="00F00D0A" w:rsidRPr="00F00D0A">
        <w:t>holders pay upwards or downwards depending on their claims history (bonus-malus systems) or similar systems, implemented in specific homogeneous risk groups;</w:t>
      </w:r>
    </w:p>
    <w:p w14:paraId="3CD72F18" w14:textId="0EDE2307" w:rsidR="005D4215" w:rsidRDefault="001043E1" w:rsidP="0096219E">
      <w:pPr>
        <w:pStyle w:val="Bullet1"/>
      </w:pPr>
      <w:r>
        <w:lastRenderedPageBreak/>
        <w:t>T</w:t>
      </w:r>
      <w:r w:rsidR="00F00D0A" w:rsidRPr="00F00D0A">
        <w:t>he progressive tendency of a portfolio of insurance contracts to attract or retain insured p</w:t>
      </w:r>
      <w:r w:rsidR="00B352DE">
        <w:t>eople</w:t>
      </w:r>
      <w:r w:rsidR="00F00D0A" w:rsidRPr="00F00D0A">
        <w:t xml:space="preserve"> with a higher risk profile (anti-selection).</w:t>
      </w:r>
    </w:p>
    <w:p w14:paraId="26368F86" w14:textId="11B6302F" w:rsidR="00896D68" w:rsidRDefault="00896D68" w:rsidP="00F00D0A"/>
    <w:p w14:paraId="156338BE" w14:textId="0635AD76" w:rsidR="00A90F75" w:rsidRDefault="00A90F75" w:rsidP="00F00D0A">
      <w:r>
        <w:t xml:space="preserve">In addition, when providing an opinion on the underwriting policy, the interrelation between it and the </w:t>
      </w:r>
      <w:r w:rsidR="00506E89">
        <w:t>Technical Provision</w:t>
      </w:r>
      <w:r>
        <w:t>s should be taken into consideration.</w:t>
      </w:r>
    </w:p>
    <w:p w14:paraId="0B690AB7" w14:textId="77777777" w:rsidR="00A90F75" w:rsidRDefault="00A90F75" w:rsidP="00F00D0A"/>
    <w:p w14:paraId="162CDF6C" w14:textId="3B15E718" w:rsidR="00540642" w:rsidRDefault="00540642" w:rsidP="00F00D0A">
      <w:r w:rsidRPr="00540642">
        <w:t>The Belgian</w:t>
      </w:r>
      <w:r>
        <w:t xml:space="preserve"> regulation</w:t>
      </w:r>
      <w:r w:rsidR="001043E1">
        <w:t xml:space="preserve"> specifies that this consists of</w:t>
      </w:r>
      <w:r>
        <w:t>:</w:t>
      </w:r>
    </w:p>
    <w:p w14:paraId="5284009C" w14:textId="79C84336" w:rsidR="00540642" w:rsidRDefault="00540642" w:rsidP="00540642">
      <w:pPr>
        <w:pStyle w:val="Bullet1"/>
      </w:pPr>
      <w:r>
        <w:t>Express</w:t>
      </w:r>
      <w:r w:rsidR="001043E1">
        <w:t>ing</w:t>
      </w:r>
      <w:r>
        <w:t xml:space="preserve"> an opinion on tariff</w:t>
      </w:r>
      <w:r w:rsidR="00B352DE">
        <w:t xml:space="preserve"> of new products or product updates</w:t>
      </w:r>
      <w:r>
        <w:t>, reserving and reinsurance having an impact on the profitability of the company;</w:t>
      </w:r>
    </w:p>
    <w:p w14:paraId="2D183A5D" w14:textId="2B6E1463" w:rsidR="00EA023C" w:rsidRDefault="00EA023C" w:rsidP="00540642">
      <w:pPr>
        <w:pStyle w:val="Bullet1"/>
      </w:pPr>
      <w:r w:rsidRPr="00EA023C">
        <w:t>Perform</w:t>
      </w:r>
      <w:r w:rsidR="001043E1">
        <w:t>ing</w:t>
      </w:r>
      <w:r w:rsidRPr="00EA023C">
        <w:t xml:space="preserve"> an annual profitability</w:t>
      </w:r>
      <w:r w:rsidR="003A37B1">
        <w:t xml:space="preserve"> analysis</w:t>
      </w:r>
      <w:r w:rsidRPr="00EA023C">
        <w:t xml:space="preserve"> of the different products </w:t>
      </w:r>
      <w:r w:rsidR="001043E1">
        <w:t>both</w:t>
      </w:r>
      <w:r w:rsidR="00224E1D">
        <w:t xml:space="preserve"> </w:t>
      </w:r>
      <w:r w:rsidRPr="00EA023C">
        <w:t>prospective</w:t>
      </w:r>
      <w:r w:rsidR="001043E1">
        <w:t>ly</w:t>
      </w:r>
      <w:r w:rsidR="00224E1D">
        <w:t xml:space="preserve"> </w:t>
      </w:r>
      <w:r w:rsidR="001043E1">
        <w:t>(</w:t>
      </w:r>
      <w:r w:rsidRPr="00EA023C">
        <w:t>i.</w:t>
      </w:r>
      <w:r>
        <w:t xml:space="preserve">e. “market consistent”) and </w:t>
      </w:r>
      <w:r w:rsidR="00224E1D">
        <w:t xml:space="preserve">a </w:t>
      </w:r>
      <w:r>
        <w:t>retrospective</w:t>
      </w:r>
      <w:r w:rsidR="001043E1">
        <w:t>ly</w:t>
      </w:r>
      <w:r>
        <w:t xml:space="preserve"> (i.e. based on annual accounts);</w:t>
      </w:r>
    </w:p>
    <w:p w14:paraId="1583C586" w14:textId="29A19CF5" w:rsidR="00EA023C" w:rsidRDefault="001043E1" w:rsidP="00540642">
      <w:pPr>
        <w:pStyle w:val="Bullet1"/>
      </w:pPr>
      <w:r>
        <w:t>Analyzing</w:t>
      </w:r>
      <w:r w:rsidR="00EA023C">
        <w:t xml:space="preserve"> the underwriting limits;</w:t>
      </w:r>
    </w:p>
    <w:p w14:paraId="7B3D60F2" w14:textId="0FE60A38" w:rsidR="00EA023C" w:rsidRPr="00EA023C" w:rsidRDefault="001043E1" w:rsidP="00540642">
      <w:pPr>
        <w:pStyle w:val="Bullet1"/>
      </w:pPr>
      <w:r>
        <w:t>Providing</w:t>
      </w:r>
      <w:r w:rsidR="00EA023C" w:rsidRPr="00EA023C">
        <w:t xml:space="preserve"> </w:t>
      </w:r>
      <w:r>
        <w:t>opinions</w:t>
      </w:r>
      <w:r w:rsidR="00EA023C" w:rsidRPr="00EA023C">
        <w:t xml:space="preserve"> and recommendations on risk acceptance.</w:t>
      </w:r>
    </w:p>
    <w:p w14:paraId="7CBD17C0" w14:textId="77777777" w:rsidR="00EA023C" w:rsidRDefault="00EA023C" w:rsidP="00896D68">
      <w:r>
        <w:t xml:space="preserve">In this </w:t>
      </w:r>
      <w:r w:rsidRPr="00896D68">
        <w:t>mission</w:t>
      </w:r>
      <w:r>
        <w:t>, the Actuarial Function assesses the:</w:t>
      </w:r>
    </w:p>
    <w:p w14:paraId="7D451A0E" w14:textId="42A8877B" w:rsidR="00540642" w:rsidRDefault="00F94CD5" w:rsidP="00EA023C">
      <w:pPr>
        <w:pStyle w:val="Bullet1"/>
      </w:pPr>
      <w:r>
        <w:t>C</w:t>
      </w:r>
      <w:r w:rsidR="00EA023C">
        <w:t>onsistency between the underwriting policy, the risk profile and the risk appetite of the company;</w:t>
      </w:r>
    </w:p>
    <w:p w14:paraId="5F058E49" w14:textId="61FC5B4B" w:rsidR="00EA023C" w:rsidRDefault="00F94CD5" w:rsidP="00EA023C">
      <w:pPr>
        <w:pStyle w:val="Bullet1"/>
      </w:pPr>
      <w:r>
        <w:t>T</w:t>
      </w:r>
      <w:r w:rsidR="00EA023C">
        <w:t>ariff adequacy;</w:t>
      </w:r>
    </w:p>
    <w:p w14:paraId="73306274" w14:textId="37FEE17C" w:rsidR="00EA023C" w:rsidRDefault="00F94CD5" w:rsidP="00EA023C">
      <w:pPr>
        <w:pStyle w:val="Bullet1"/>
      </w:pPr>
      <w:r>
        <w:t>A</w:t>
      </w:r>
      <w:r w:rsidR="00EA023C">
        <w:t>ssumptions used to calculate the future profitability of products set in the underwriting policy;</w:t>
      </w:r>
    </w:p>
    <w:p w14:paraId="579443CF" w14:textId="2B34340E" w:rsidR="003A37B1" w:rsidRPr="003A37B1" w:rsidRDefault="00F94CD5" w:rsidP="003A37B1">
      <w:pPr>
        <w:pStyle w:val="Bullet1"/>
      </w:pPr>
      <w:r>
        <w:t>R</w:t>
      </w:r>
      <w:r w:rsidR="00896D68">
        <w:t>isk drivers of the profitability.</w:t>
      </w:r>
    </w:p>
    <w:p w14:paraId="3E4BB632" w14:textId="6A788DFC" w:rsidR="00896D68" w:rsidRDefault="00896D68" w:rsidP="00F00D0A"/>
    <w:p w14:paraId="2DEBF855" w14:textId="19242AB3" w:rsidR="003D2D7D" w:rsidRDefault="006E79F1" w:rsidP="00F00D0A">
      <w:r>
        <w:t>I</w:t>
      </w:r>
      <w:r w:rsidR="003D2D7D">
        <w:t>n case of transfer of an insurance or reinsurance portfolio to another party, the Actuarial Functio</w:t>
      </w:r>
      <w:r w:rsidR="0096219E">
        <w:t>n must provide a report on the p</w:t>
      </w:r>
      <w:r w:rsidR="003D2D7D">
        <w:t>rofitability of the transferred portfolio and an assessment on the impact</w:t>
      </w:r>
      <w:r w:rsidR="0096219E">
        <w:t xml:space="preserve"> of this transfer on the total p</w:t>
      </w:r>
      <w:r w:rsidR="003D2D7D">
        <w:t>rofitability of the portfolio of the undertaking.</w:t>
      </w:r>
    </w:p>
    <w:p w14:paraId="1B2CA0F1" w14:textId="77777777" w:rsidR="003D2D7D" w:rsidRPr="00EA023C" w:rsidRDefault="003D2D7D" w:rsidP="00F00D0A"/>
    <w:p w14:paraId="799982D0" w14:textId="6394DD65" w:rsidR="00422F40" w:rsidRDefault="00EB3084" w:rsidP="00833617">
      <w:pPr>
        <w:pStyle w:val="Kop3"/>
      </w:pPr>
      <w:bookmarkStart w:id="24" w:name="_Toc508793716"/>
      <w:r>
        <w:t>5.2</w:t>
      </w:r>
      <w:r w:rsidR="00422F40">
        <w:t xml:space="preserve">.2. Actuarial Function Activities on </w:t>
      </w:r>
      <w:r w:rsidR="00BC508E">
        <w:t>Underwriting</w:t>
      </w:r>
      <w:r w:rsidR="002048DA">
        <w:t xml:space="preserve"> &amp; Profitability</w:t>
      </w:r>
      <w:r w:rsidR="00BC508E">
        <w:t xml:space="preserve"> in </w:t>
      </w:r>
      <w:bookmarkEnd w:id="24"/>
      <w:r w:rsidR="00FE2E26">
        <w:t>YYYY</w:t>
      </w:r>
    </w:p>
    <w:p w14:paraId="7E1D7D67" w14:textId="6DDEBC8B" w:rsidR="00E67B21" w:rsidRDefault="00E67B21" w:rsidP="00E67B21">
      <w:pPr>
        <w:rPr>
          <w:rStyle w:val="Intensievebenadrukking"/>
        </w:rPr>
      </w:pPr>
      <w:r>
        <w:rPr>
          <w:rStyle w:val="Intensievebenadrukking"/>
        </w:rPr>
        <w:t>List of Actuarial Function activities during the year.</w:t>
      </w:r>
    </w:p>
    <w:p w14:paraId="4C60C37D" w14:textId="77777777" w:rsidR="00E67B21" w:rsidRDefault="00E67B21" w:rsidP="00E67B21">
      <w:pPr>
        <w:rPr>
          <w:rStyle w:val="Intensievebenadrukking"/>
        </w:rPr>
      </w:pPr>
      <w:r>
        <w:rPr>
          <w:rStyle w:val="Intensievebenadrukking"/>
        </w:rPr>
        <w:t>References of the reports.</w:t>
      </w:r>
    </w:p>
    <w:p w14:paraId="11F92521" w14:textId="77777777" w:rsidR="00E67B21" w:rsidRPr="00E67B21" w:rsidRDefault="00E67B21" w:rsidP="00E67B21"/>
    <w:p w14:paraId="113C5FEC" w14:textId="2775C08E" w:rsidR="00BC508E" w:rsidRDefault="00EB3084" w:rsidP="00833617">
      <w:pPr>
        <w:pStyle w:val="Kop3"/>
      </w:pPr>
      <w:bookmarkStart w:id="25" w:name="_Toc508793717"/>
      <w:r>
        <w:t>5.2</w:t>
      </w:r>
      <w:r w:rsidR="00BC508E">
        <w:t xml:space="preserve">.3. </w:t>
      </w:r>
      <w:r w:rsidR="00B5251D">
        <w:t>Asses</w:t>
      </w:r>
      <w:bookmarkEnd w:id="25"/>
      <w:r w:rsidR="003A37B1">
        <w:t xml:space="preserve">sment on </w:t>
      </w:r>
      <w:r w:rsidR="003A37B1" w:rsidRPr="003A37B1">
        <w:t>tariff, reserving and reinsurance of new products or product updates having an impact on the profitability of the company</w:t>
      </w:r>
    </w:p>
    <w:p w14:paraId="09B3F827" w14:textId="77777777" w:rsidR="00582A83" w:rsidRDefault="00582A83" w:rsidP="00582A83">
      <w:pPr>
        <w:rPr>
          <w:rStyle w:val="Intensievebenadrukking"/>
        </w:rPr>
      </w:pPr>
      <w:r>
        <w:rPr>
          <w:rStyle w:val="Intensievebenadrukking"/>
        </w:rPr>
        <w:t>Executive summary of the report(s) that the Actuarial Function produced during the year.</w:t>
      </w:r>
    </w:p>
    <w:p w14:paraId="5843A691" w14:textId="6C987CD5" w:rsidR="00582A83" w:rsidRDefault="00582A83" w:rsidP="00582A83">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will be produced by the IABE work</w:t>
      </w:r>
      <w:r w:rsidR="0019710F">
        <w:rPr>
          <w:rStyle w:val="Intensievebenadrukking"/>
        </w:rPr>
        <w:t>ing</w:t>
      </w:r>
      <w:r>
        <w:rPr>
          <w:rStyle w:val="Intensievebenadrukking"/>
        </w:rPr>
        <w:t xml:space="preserve"> group on Actuarial Function.</w:t>
      </w:r>
    </w:p>
    <w:p w14:paraId="183CB1C4" w14:textId="77777777" w:rsidR="00582A83" w:rsidRPr="00582A83" w:rsidRDefault="00582A83" w:rsidP="00582A83"/>
    <w:p w14:paraId="29C4FB1F" w14:textId="41E6224A" w:rsidR="003A37B1" w:rsidRDefault="00EB3084" w:rsidP="003A37B1">
      <w:pPr>
        <w:pStyle w:val="Kop3"/>
      </w:pPr>
      <w:bookmarkStart w:id="26" w:name="_Toc508793723"/>
      <w:r>
        <w:t>5.2</w:t>
      </w:r>
      <w:r w:rsidR="003A37B1">
        <w:t>.4. Annual Profitability Analysis</w:t>
      </w:r>
    </w:p>
    <w:p w14:paraId="04E29FF1" w14:textId="77777777" w:rsidR="003A37B1" w:rsidRDefault="003A37B1" w:rsidP="003A37B1">
      <w:pPr>
        <w:rPr>
          <w:rStyle w:val="Intensievebenadrukking"/>
        </w:rPr>
      </w:pPr>
      <w:r>
        <w:rPr>
          <w:rStyle w:val="Intensievebenadrukking"/>
        </w:rPr>
        <w:t>Executive summary of the report(s) that the Actuarial Function produced during the year.</w:t>
      </w:r>
    </w:p>
    <w:p w14:paraId="051EA590" w14:textId="7D131A7E" w:rsidR="003A37B1" w:rsidRDefault="003A37B1" w:rsidP="003A37B1">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t>
      </w:r>
      <w:r w:rsidRPr="003A37B1">
        <w:rPr>
          <w:rStyle w:val="Intensievebenadrukking"/>
          <w:u w:val="single"/>
        </w:rPr>
        <w:t>are available</w:t>
      </w:r>
      <w:r>
        <w:rPr>
          <w:rStyle w:val="Intensievebenadrukking"/>
        </w:rPr>
        <w:t>.</w:t>
      </w:r>
    </w:p>
    <w:p w14:paraId="03C243F5" w14:textId="77777777" w:rsidR="003A37B1" w:rsidRPr="00582A83" w:rsidRDefault="003A37B1" w:rsidP="003A37B1"/>
    <w:p w14:paraId="37CCFF81" w14:textId="141B3DBC" w:rsidR="003A37B1" w:rsidRDefault="00EB3084" w:rsidP="003A37B1">
      <w:pPr>
        <w:pStyle w:val="Kop3"/>
      </w:pPr>
      <w:r>
        <w:t>5.2</w:t>
      </w:r>
      <w:r w:rsidR="003A37B1">
        <w:t>.5. General Assessment on Underwriting limits and process</w:t>
      </w:r>
    </w:p>
    <w:p w14:paraId="4E72C111" w14:textId="77777777" w:rsidR="003A37B1" w:rsidRDefault="003A37B1" w:rsidP="003A37B1">
      <w:pPr>
        <w:rPr>
          <w:rStyle w:val="Intensievebenadrukking"/>
        </w:rPr>
      </w:pPr>
      <w:r>
        <w:rPr>
          <w:rStyle w:val="Intensievebenadrukking"/>
        </w:rPr>
        <w:t>Executive summary of the report(s) that the Actuarial Function produced during the year.</w:t>
      </w:r>
    </w:p>
    <w:p w14:paraId="236594C6" w14:textId="50674023" w:rsidR="003A37B1" w:rsidRDefault="003A37B1" w:rsidP="003A37B1">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will be produced by the IABE work</w:t>
      </w:r>
      <w:r w:rsidR="0019710F">
        <w:rPr>
          <w:rStyle w:val="Intensievebenadrukking"/>
        </w:rPr>
        <w:t>ing</w:t>
      </w:r>
      <w:r>
        <w:rPr>
          <w:rStyle w:val="Intensievebenadrukking"/>
        </w:rPr>
        <w:t xml:space="preserve"> group on Actuarial Function.</w:t>
      </w:r>
    </w:p>
    <w:p w14:paraId="0B09437A" w14:textId="77777777" w:rsidR="003A37B1" w:rsidRPr="00582A83" w:rsidRDefault="003A37B1" w:rsidP="003A37B1"/>
    <w:p w14:paraId="5438AC09" w14:textId="12381A17" w:rsidR="00BC508E" w:rsidRDefault="00EB3084" w:rsidP="00833617">
      <w:pPr>
        <w:pStyle w:val="Kop3"/>
      </w:pPr>
      <w:r>
        <w:t>5.2</w:t>
      </w:r>
      <w:r w:rsidR="00BE400D">
        <w:t>.</w:t>
      </w:r>
      <w:r w:rsidR="003A37B1">
        <w:t>6</w:t>
      </w:r>
      <w:r w:rsidR="00BE400D">
        <w:t xml:space="preserve">. </w:t>
      </w:r>
      <w:r w:rsidR="00BC508E">
        <w:t>Recommendations on Underwriting</w:t>
      </w:r>
      <w:bookmarkEnd w:id="26"/>
      <w:r w:rsidR="002048DA">
        <w:t xml:space="preserve"> &amp; Profitability</w:t>
      </w:r>
    </w:p>
    <w:p w14:paraId="30A7735D" w14:textId="5959886A" w:rsidR="00217451" w:rsidRDefault="00217451" w:rsidP="00217451">
      <w:pPr>
        <w:rPr>
          <w:rStyle w:val="Intensievebenadrukking"/>
        </w:rPr>
      </w:pPr>
      <w:r>
        <w:rPr>
          <w:rStyle w:val="Intensievebenadrukking"/>
        </w:rPr>
        <w:t>New recommendations.</w:t>
      </w:r>
    </w:p>
    <w:p w14:paraId="697E7CBE" w14:textId="77777777" w:rsidR="00217451" w:rsidRPr="00217451" w:rsidRDefault="00217451" w:rsidP="00217451"/>
    <w:p w14:paraId="1D2CC42A" w14:textId="189310F1" w:rsidR="00095BE2" w:rsidRDefault="00EB3084" w:rsidP="00833617">
      <w:pPr>
        <w:pStyle w:val="Kop3"/>
      </w:pPr>
      <w:r>
        <w:t>5.2</w:t>
      </w:r>
      <w:r w:rsidR="003A37B1">
        <w:t>.7</w:t>
      </w:r>
      <w:r w:rsidR="00095BE2">
        <w:t>. Summary of outstanding recommendations of previous reports</w:t>
      </w:r>
    </w:p>
    <w:p w14:paraId="6340BD3D" w14:textId="76E168F4" w:rsidR="00217451" w:rsidRPr="00217451" w:rsidRDefault="006B3445" w:rsidP="00217451">
      <w:r>
        <w:rPr>
          <w:rStyle w:val="Intensievebenadrukking"/>
        </w:rPr>
        <w:t>Follow-up on recommendations from previous years.</w:t>
      </w:r>
    </w:p>
    <w:p w14:paraId="596E5280" w14:textId="77777777" w:rsidR="001A0840" w:rsidRPr="001A0840" w:rsidRDefault="001A0840" w:rsidP="001A0840">
      <w:bookmarkStart w:id="27" w:name="_Toc508793724"/>
    </w:p>
    <w:p w14:paraId="785FF122" w14:textId="670EC3DF" w:rsidR="00465DCE" w:rsidRPr="0048381F" w:rsidRDefault="00EB3084" w:rsidP="00833617">
      <w:pPr>
        <w:pStyle w:val="Kop2"/>
      </w:pPr>
      <w:r>
        <w:lastRenderedPageBreak/>
        <w:t>5.3</w:t>
      </w:r>
      <w:r w:rsidR="00465DCE" w:rsidRPr="0048381F">
        <w:t>. Reinsurance</w:t>
      </w:r>
      <w:bookmarkEnd w:id="27"/>
    </w:p>
    <w:p w14:paraId="4CF149A9" w14:textId="0CB59EE3" w:rsidR="003D7142" w:rsidRDefault="003D7142" w:rsidP="003D7142">
      <w:bookmarkStart w:id="28" w:name="_Toc508793725"/>
      <w:r w:rsidRPr="0048381F">
        <w:t xml:space="preserve">This section belongs to the minimal elements that must be reported in the Annual Actuarial Function Report according the </w:t>
      </w:r>
      <w:r w:rsidR="0048381F" w:rsidRPr="0048381F">
        <w:t>Circular NBB_2016_31 updated in September 2018.</w:t>
      </w:r>
    </w:p>
    <w:p w14:paraId="5FA3C9AF" w14:textId="77777777" w:rsidR="003D7142" w:rsidRPr="0078010F" w:rsidRDefault="003D7142" w:rsidP="003D7142"/>
    <w:p w14:paraId="13B29021" w14:textId="0E4BDB71" w:rsidR="00BC508E" w:rsidRDefault="00EB3084" w:rsidP="00A412EE">
      <w:pPr>
        <w:pStyle w:val="Kop3"/>
      </w:pPr>
      <w:r>
        <w:t>5.3</w:t>
      </w:r>
      <w:r w:rsidR="00BC508E">
        <w:t>.1. Legal requirements for Reinsurance</w:t>
      </w:r>
      <w:bookmarkEnd w:id="28"/>
    </w:p>
    <w:p w14:paraId="0150557F" w14:textId="12D20663" w:rsidR="006E79F1" w:rsidRDefault="005D4215" w:rsidP="006E79F1">
      <w:r>
        <w:t xml:space="preserve">The Solvency II regulation regarding the </w:t>
      </w:r>
      <w:r w:rsidR="00B352DE">
        <w:t xml:space="preserve">Actuarial Function’s </w:t>
      </w:r>
      <w:r>
        <w:t xml:space="preserve">role and </w:t>
      </w:r>
      <w:r w:rsidR="00B352DE">
        <w:t>r</w:t>
      </w:r>
      <w:r>
        <w:t xml:space="preserve">esponsibility </w:t>
      </w:r>
      <w:r w:rsidR="001F2E12">
        <w:t>in</w:t>
      </w:r>
      <w:r>
        <w:t xml:space="preserve"> assess</w:t>
      </w:r>
      <w:r w:rsidR="001F2E12">
        <w:t>ing</w:t>
      </w:r>
      <w:r>
        <w:t xml:space="preserve"> the </w:t>
      </w:r>
      <w:r w:rsidR="003E60F7">
        <w:t>reinsurance</w:t>
      </w:r>
      <w:r>
        <w:t xml:space="preserve"> </w:t>
      </w:r>
      <w:bookmarkStart w:id="29" w:name="OLE_LINK1"/>
      <w:r w:rsidR="006E79F1">
        <w:t xml:space="preserve">is laid down in the documents listed </w:t>
      </w:r>
      <w:r w:rsidR="001F2E12">
        <w:t>in</w:t>
      </w:r>
      <w:r w:rsidR="006E79F1">
        <w:t xml:space="preserve"> the annex.</w:t>
      </w:r>
    </w:p>
    <w:p w14:paraId="3D430413" w14:textId="77777777" w:rsidR="00BC508E" w:rsidRDefault="00BC508E" w:rsidP="00BC508E"/>
    <w:bookmarkEnd w:id="29"/>
    <w:p w14:paraId="4F000F5D" w14:textId="096E2916" w:rsidR="00A02C27" w:rsidRDefault="003908F8" w:rsidP="00A02C27">
      <w:r>
        <w:t xml:space="preserve">The Actuarial Function must </w:t>
      </w:r>
      <w:r w:rsidR="005D4215" w:rsidRPr="005D4215">
        <w:t>express an opinion on the adequacy</w:t>
      </w:r>
      <w:r w:rsidR="00FE34F3">
        <w:t>, interrelationships (i.e. consistency with the risk app</w:t>
      </w:r>
      <w:r w:rsidR="009F7C96">
        <w:t xml:space="preserve">etite, underwriting policy and </w:t>
      </w:r>
      <w:r w:rsidR="00506E89">
        <w:t>Technical Provision</w:t>
      </w:r>
      <w:r w:rsidR="00FE34F3">
        <w:t xml:space="preserve">s) and the effectiveness </w:t>
      </w:r>
      <w:r w:rsidR="005D4215" w:rsidRPr="005D4215">
        <w:t>of reinsurance arrangements</w:t>
      </w:r>
      <w:r w:rsidR="00CF49A8">
        <w:t>. This opinion is based on a review</w:t>
      </w:r>
      <w:r w:rsidR="00F00D0A" w:rsidRPr="00F00D0A">
        <w:t xml:space="preserve"> </w:t>
      </w:r>
      <w:r w:rsidR="00CF49A8">
        <w:t>of</w:t>
      </w:r>
      <w:r w:rsidR="00F00D0A" w:rsidRPr="00F00D0A">
        <w:t>:</w:t>
      </w:r>
    </w:p>
    <w:p w14:paraId="505A410B" w14:textId="32C516F7" w:rsidR="00A02C27" w:rsidRDefault="00F00D0A" w:rsidP="00B61304">
      <w:pPr>
        <w:pStyle w:val="Bullet1"/>
      </w:pPr>
      <w:r w:rsidRPr="00F00D0A">
        <w:t>the undertaking's risk profile and underwriting policy</w:t>
      </w:r>
      <w:r w:rsidR="00CF49A8">
        <w:t xml:space="preserve"> for both existing and new products</w:t>
      </w:r>
      <w:r w:rsidRPr="00F00D0A">
        <w:t>;</w:t>
      </w:r>
    </w:p>
    <w:p w14:paraId="4E0EC3BE" w14:textId="1A440844" w:rsidR="00755A38" w:rsidRDefault="00755A38" w:rsidP="00B61304">
      <w:pPr>
        <w:pStyle w:val="Bullet1"/>
      </w:pPr>
      <w:r>
        <w:t>the a</w:t>
      </w:r>
      <w:r w:rsidRPr="00755A38">
        <w:t xml:space="preserve">dequacy </w:t>
      </w:r>
      <w:r w:rsidR="008814D4">
        <w:t>of</w:t>
      </w:r>
      <w:r w:rsidRPr="00755A38">
        <w:t xml:space="preserve"> reinsurance coverages </w:t>
      </w:r>
      <w:r w:rsidR="008814D4">
        <w:t>taking into account the</w:t>
      </w:r>
      <w:r w:rsidRPr="00755A38">
        <w:t xml:space="preserve"> underlying insurance coverages with a specific attention to reinsurance exclusions and limits</w:t>
      </w:r>
      <w:r>
        <w:t>;</w:t>
      </w:r>
    </w:p>
    <w:p w14:paraId="317E302B" w14:textId="0A9517E0" w:rsidR="00A02C27" w:rsidRDefault="00CF49A8" w:rsidP="00B61304">
      <w:pPr>
        <w:pStyle w:val="Bullet1"/>
      </w:pPr>
      <w:r>
        <w:t xml:space="preserve">the </w:t>
      </w:r>
      <w:r w:rsidR="00F00D0A" w:rsidRPr="00F00D0A">
        <w:t xml:space="preserve">reinsurance providers </w:t>
      </w:r>
      <w:r>
        <w:t>with respect to</w:t>
      </w:r>
      <w:r w:rsidR="00F00D0A" w:rsidRPr="00F00D0A">
        <w:t xml:space="preserve"> their credit standing;</w:t>
      </w:r>
    </w:p>
    <w:p w14:paraId="510AAE0C" w14:textId="77777777" w:rsidR="00A02C27" w:rsidRDefault="00F00D0A" w:rsidP="00B61304">
      <w:pPr>
        <w:pStyle w:val="Bullet1"/>
      </w:pPr>
      <w:r w:rsidRPr="00F00D0A">
        <w:t xml:space="preserve">the expected cover under stress scenarios in relation to the underwriting policy; </w:t>
      </w:r>
    </w:p>
    <w:p w14:paraId="21C3E6B1" w14:textId="715D8D96" w:rsidR="00F00D0A" w:rsidRPr="00B06172" w:rsidRDefault="00F00D0A" w:rsidP="00B61304">
      <w:pPr>
        <w:pStyle w:val="Bullet1"/>
      </w:pPr>
      <w:r w:rsidRPr="00B06172">
        <w:t>the calculation of the amounts recoverable from reinsurance contrac</w:t>
      </w:r>
      <w:r w:rsidR="00DA0C2C" w:rsidRPr="00B06172">
        <w:t>ts and special purpose vehicles;</w:t>
      </w:r>
    </w:p>
    <w:p w14:paraId="3DAA066F" w14:textId="3D9F802C" w:rsidR="009A6933" w:rsidRPr="00B06172" w:rsidRDefault="009A6933" w:rsidP="00B61304">
      <w:pPr>
        <w:pStyle w:val="Bullet1"/>
      </w:pPr>
      <w:r w:rsidRPr="00B06172">
        <w:t>the impact of the reinsurance arrangements on SCR (especially when there is a change in the reinsurance program of the company)</w:t>
      </w:r>
      <w:r w:rsidR="00DA0C2C" w:rsidRPr="00B06172">
        <w:t>.</w:t>
      </w:r>
    </w:p>
    <w:p w14:paraId="4E1EC03B" w14:textId="77777777" w:rsidR="009A6933" w:rsidRPr="009A6933" w:rsidRDefault="009A6933" w:rsidP="009A6933"/>
    <w:p w14:paraId="7375D017" w14:textId="09823C43" w:rsidR="00F00D0A" w:rsidRDefault="003D2D7D" w:rsidP="00F00D0A">
      <w:r>
        <w:t xml:space="preserve">In addition, in case of </w:t>
      </w:r>
      <w:r w:rsidR="00253B11">
        <w:t xml:space="preserve">a </w:t>
      </w:r>
      <w:r>
        <w:t>transfer of an insurance or reinsurance portfolio to another party, the Actuarial Function must provide a report on the Reinsurance of the transferred portfolio and an assessment on the impact of this transfer on the total Reinsurance of the undertaking.</w:t>
      </w:r>
    </w:p>
    <w:p w14:paraId="52B68498" w14:textId="77777777" w:rsidR="003D2D7D" w:rsidRPr="001C40BF" w:rsidRDefault="003D2D7D" w:rsidP="00F00D0A"/>
    <w:p w14:paraId="09BD009D" w14:textId="6757DA31" w:rsidR="00BC508E" w:rsidRDefault="00EB3084" w:rsidP="00833617">
      <w:pPr>
        <w:pStyle w:val="Kop3"/>
      </w:pPr>
      <w:bookmarkStart w:id="30" w:name="_Toc508793726"/>
      <w:r>
        <w:t>5.3</w:t>
      </w:r>
      <w:r w:rsidR="00BC508E">
        <w:t xml:space="preserve">.2. Actuarial Function Activities on Reinsurance in </w:t>
      </w:r>
      <w:bookmarkEnd w:id="30"/>
      <w:r w:rsidR="00095BE2">
        <w:t>YYYY</w:t>
      </w:r>
    </w:p>
    <w:p w14:paraId="1B200B6F" w14:textId="0EDEECEC" w:rsidR="00E67B21" w:rsidRDefault="00E67B21" w:rsidP="00E67B21">
      <w:pPr>
        <w:rPr>
          <w:rStyle w:val="Intensievebenadrukking"/>
        </w:rPr>
      </w:pPr>
      <w:r>
        <w:rPr>
          <w:rStyle w:val="Intensievebenadrukking"/>
        </w:rPr>
        <w:t>List of Actuarial Function activities during the year.</w:t>
      </w:r>
    </w:p>
    <w:p w14:paraId="37635267" w14:textId="77777777" w:rsidR="00E67B21" w:rsidRDefault="00E67B21" w:rsidP="00E67B21">
      <w:pPr>
        <w:rPr>
          <w:rStyle w:val="Intensievebenadrukking"/>
        </w:rPr>
      </w:pPr>
      <w:r>
        <w:rPr>
          <w:rStyle w:val="Intensievebenadrukking"/>
        </w:rPr>
        <w:t>References of the reports.</w:t>
      </w:r>
    </w:p>
    <w:p w14:paraId="22CE35D1" w14:textId="77777777" w:rsidR="00E67B21" w:rsidRPr="00E67B21" w:rsidRDefault="00E67B21" w:rsidP="00E67B21"/>
    <w:p w14:paraId="32CD3D0F" w14:textId="7AECDF4E" w:rsidR="00BC508E" w:rsidRPr="00A05469" w:rsidRDefault="00EB3084" w:rsidP="00833617">
      <w:pPr>
        <w:pStyle w:val="Kop3"/>
      </w:pPr>
      <w:bookmarkStart w:id="31" w:name="_Toc508793727"/>
      <w:r>
        <w:t>5.3</w:t>
      </w:r>
      <w:r w:rsidR="00BC508E" w:rsidRPr="00A05469">
        <w:t>.3. Conclusions on Reinsurance</w:t>
      </w:r>
      <w:bookmarkEnd w:id="31"/>
    </w:p>
    <w:p w14:paraId="6395ABD8" w14:textId="77777777" w:rsidR="00CD6D31" w:rsidRDefault="00CD6D31" w:rsidP="00CD6D31">
      <w:pPr>
        <w:rPr>
          <w:rStyle w:val="Intensievebenadrukking"/>
        </w:rPr>
      </w:pPr>
      <w:r>
        <w:rPr>
          <w:rStyle w:val="Intensievebenadrukking"/>
        </w:rPr>
        <w:t>Executive summary of the report(s) that the Actuarial Function produced during the year.</w:t>
      </w:r>
    </w:p>
    <w:p w14:paraId="7FEE63E4" w14:textId="3AB94712" w:rsidR="00CD6D31" w:rsidRDefault="00CD6D31" w:rsidP="00CD6D31">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will be produced by the IABE work</w:t>
      </w:r>
      <w:r w:rsidR="0019710F">
        <w:rPr>
          <w:rStyle w:val="Intensievebenadrukking"/>
        </w:rPr>
        <w:t>ing</w:t>
      </w:r>
      <w:r>
        <w:rPr>
          <w:rStyle w:val="Intensievebenadrukking"/>
        </w:rPr>
        <w:t xml:space="preserve"> group on Actuarial Function.</w:t>
      </w:r>
    </w:p>
    <w:p w14:paraId="76776BBE" w14:textId="77777777" w:rsidR="00CD6D31" w:rsidRPr="00CD6D31" w:rsidRDefault="00CD6D31" w:rsidP="00CD6D31"/>
    <w:p w14:paraId="06AC40DE" w14:textId="2C67A2BC" w:rsidR="00BC508E" w:rsidRPr="00A05469" w:rsidRDefault="00EB3084" w:rsidP="00833617">
      <w:pPr>
        <w:pStyle w:val="Kop3"/>
      </w:pPr>
      <w:bookmarkStart w:id="32" w:name="_Toc508793732"/>
      <w:r>
        <w:t>5.3</w:t>
      </w:r>
      <w:r w:rsidR="00BC508E" w:rsidRPr="00A05469">
        <w:t>.4. Recommendations on Reinsurance</w:t>
      </w:r>
      <w:bookmarkEnd w:id="32"/>
    </w:p>
    <w:p w14:paraId="506C0782" w14:textId="26503924" w:rsidR="00217451" w:rsidRDefault="00217451" w:rsidP="00217451">
      <w:pPr>
        <w:rPr>
          <w:rStyle w:val="Intensievebenadrukking"/>
        </w:rPr>
      </w:pPr>
      <w:r>
        <w:rPr>
          <w:rStyle w:val="Intensievebenadrukking"/>
        </w:rPr>
        <w:t>New recommendations.</w:t>
      </w:r>
    </w:p>
    <w:p w14:paraId="5CC0D1A8" w14:textId="77777777" w:rsidR="00217451" w:rsidRPr="00217451" w:rsidRDefault="00217451" w:rsidP="00217451"/>
    <w:p w14:paraId="19414504" w14:textId="41966FBE" w:rsidR="00095BE2" w:rsidRDefault="00EB3084" w:rsidP="00833617">
      <w:pPr>
        <w:pStyle w:val="Kop3"/>
      </w:pPr>
      <w:r>
        <w:t>5.3</w:t>
      </w:r>
      <w:r w:rsidR="00095BE2">
        <w:t>.5. Summary of outstanding recommendations of previous reports</w:t>
      </w:r>
    </w:p>
    <w:p w14:paraId="66166BE3" w14:textId="61EACFB0" w:rsidR="00217451" w:rsidRDefault="006B3445" w:rsidP="00217451">
      <w:pPr>
        <w:rPr>
          <w:rStyle w:val="Intensievebenadrukking"/>
        </w:rPr>
      </w:pPr>
      <w:r>
        <w:rPr>
          <w:rStyle w:val="Intensievebenadrukking"/>
        </w:rPr>
        <w:t>Fol</w:t>
      </w:r>
      <w:r w:rsidR="00EB3084">
        <w:rPr>
          <w:rStyle w:val="Intensievebenadrukking"/>
        </w:rPr>
        <w:t>l</w:t>
      </w:r>
      <w:r>
        <w:rPr>
          <w:rStyle w:val="Intensievebenadrukking"/>
        </w:rPr>
        <w:t>ow-up on recommendations from previous years.</w:t>
      </w:r>
    </w:p>
    <w:p w14:paraId="082E86DB" w14:textId="77777777" w:rsidR="00EB3084" w:rsidRPr="00EB3084" w:rsidRDefault="00EB3084" w:rsidP="00EB3084"/>
    <w:p w14:paraId="03AC4D4F" w14:textId="65D320C0" w:rsidR="000E0E81" w:rsidRDefault="000E0E81" w:rsidP="000E0E81">
      <w:pPr>
        <w:pStyle w:val="Kop2"/>
      </w:pPr>
      <w:r>
        <w:t>5.</w:t>
      </w:r>
      <w:r w:rsidR="00EB3084">
        <w:t>4</w:t>
      </w:r>
      <w:r>
        <w:t xml:space="preserve">. </w:t>
      </w:r>
      <w:r w:rsidRPr="005F0752">
        <w:t xml:space="preserve">Profit Sharing </w:t>
      </w:r>
      <w:r>
        <w:t>&amp; Rebates</w:t>
      </w:r>
    </w:p>
    <w:p w14:paraId="041E7F95" w14:textId="77777777" w:rsidR="000E0E81" w:rsidRDefault="000E0E81" w:rsidP="000E0E81">
      <w:bookmarkStart w:id="33" w:name="_Toc508793710"/>
      <w:r w:rsidRPr="0048381F">
        <w:t>This section belongs to the minimal elements that must be reported in the Annual Actuarial Function Report according the Circular NBB_2016_31 updated in September 2018.</w:t>
      </w:r>
    </w:p>
    <w:p w14:paraId="21112D3B" w14:textId="77777777" w:rsidR="000E0E81" w:rsidRPr="0078010F" w:rsidRDefault="000E0E81" w:rsidP="000E0E81"/>
    <w:p w14:paraId="2B00E975" w14:textId="2C77CD77" w:rsidR="000E0E81" w:rsidRDefault="00EB3084" w:rsidP="000E0E81">
      <w:pPr>
        <w:pStyle w:val="Kop3"/>
      </w:pPr>
      <w:r>
        <w:t>5.4</w:t>
      </w:r>
      <w:r w:rsidR="000E0E81">
        <w:t>.1. Legal requirements for Profit Sharing &amp; Rebates</w:t>
      </w:r>
      <w:bookmarkEnd w:id="33"/>
    </w:p>
    <w:p w14:paraId="5D08E9BF" w14:textId="77777777" w:rsidR="000E0E81" w:rsidRDefault="000E0E81" w:rsidP="000E0E81">
      <w:r>
        <w:t xml:space="preserve">The regulation regarding </w:t>
      </w:r>
      <w:r w:rsidRPr="00826DB7">
        <w:t>Profit Sharing &amp; Rebates</w:t>
      </w:r>
      <w:r>
        <w:t xml:space="preserve"> and the Actuarial Function’s role in assessing them, is laid down in the documents listed in the annex.</w:t>
      </w:r>
    </w:p>
    <w:p w14:paraId="39FC1FBA" w14:textId="77777777" w:rsidR="000E0E81" w:rsidRDefault="000E0E81" w:rsidP="000E0E81"/>
    <w:p w14:paraId="1859E629" w14:textId="77777777" w:rsidR="000E0E81" w:rsidRDefault="000E0E81" w:rsidP="000E0E81">
      <w:r>
        <w:lastRenderedPageBreak/>
        <w:t>The 16/09/2016 Royal Decree on distribution of Profit Sharing and the attribution of rebates in insurance contracts stipulates that</w:t>
      </w:r>
      <w:r>
        <w:rPr>
          <w:rStyle w:val="Voetnootmarkering"/>
        </w:rPr>
        <w:footnoteReference w:id="3"/>
      </w:r>
      <w:r>
        <w:t xml:space="preserve"> the Actuarial Function, according the article 59, § 1</w:t>
      </w:r>
      <w:r w:rsidRPr="009359E4">
        <w:rPr>
          <w:vertAlign w:val="superscript"/>
        </w:rPr>
        <w:t>th</w:t>
      </w:r>
      <w:r>
        <w:t>, 10° of the 13/03/2016 law on the statute and the control of insurance and reinsurance companies, attests at least the following in its opinion :</w:t>
      </w:r>
    </w:p>
    <w:p w14:paraId="4BDF603A" w14:textId="77777777" w:rsidR="000E0E81" w:rsidRDefault="000E0E81" w:rsidP="000E0E81">
      <w:pPr>
        <w:pStyle w:val="Bullet1"/>
      </w:pPr>
      <w:r>
        <w:t>That the amount of the Profit Sharing is compliant with the policy written and agreed by the legal administration body;</w:t>
      </w:r>
    </w:p>
    <w:p w14:paraId="537B66CA" w14:textId="77777777" w:rsidR="000E0E81" w:rsidRDefault="000E0E81" w:rsidP="000E0E81">
      <w:pPr>
        <w:pStyle w:val="Bullet1"/>
      </w:pPr>
      <w:r>
        <w:t>That this written policy has been correctly modelled in the cash-flows projection model used for the calculation of the Best Estimate (article 126 of the law of 13.03.2016);</w:t>
      </w:r>
    </w:p>
    <w:p w14:paraId="4023256E" w14:textId="77777777" w:rsidR="000E0E81" w:rsidRDefault="000E0E81" w:rsidP="000E0E81">
      <w:pPr>
        <w:pStyle w:val="Bullet1"/>
      </w:pPr>
      <w:r>
        <w:t xml:space="preserve">The amount of the variation of the non-active </w:t>
      </w:r>
      <w:proofErr w:type="spellStart"/>
      <w:r>
        <w:t>zillmerized</w:t>
      </w:r>
      <w:proofErr w:type="spellEnd"/>
      <w:r>
        <w:t xml:space="preserve"> amount.</w:t>
      </w:r>
    </w:p>
    <w:p w14:paraId="1F5FC2D5" w14:textId="77777777" w:rsidR="000E0E81" w:rsidRDefault="000E0E81" w:rsidP="000E0E81"/>
    <w:p w14:paraId="37C21F00" w14:textId="77777777" w:rsidR="000E0E81" w:rsidRDefault="000E0E81" w:rsidP="000E0E81">
      <w:r>
        <w:t>In addition, the Actuarial Function attests that the rules of Art. 33 and 58§2 of the 14/11/2003 Royal Decree on the Profit Sharing &amp; Rebates Attribution and on the Funds of dedicated assets with respect to the life insurance activity are met.</w:t>
      </w:r>
    </w:p>
    <w:p w14:paraId="2D2C10A1" w14:textId="77777777" w:rsidR="000E0E81" w:rsidRDefault="000E0E81" w:rsidP="000E0E81"/>
    <w:p w14:paraId="0E86AADC" w14:textId="07A365F3" w:rsidR="000E0E81" w:rsidRDefault="00EB3084" w:rsidP="000E0E81">
      <w:pPr>
        <w:pStyle w:val="Kop3"/>
      </w:pPr>
      <w:bookmarkStart w:id="34" w:name="_Toc508793711"/>
      <w:r>
        <w:t>5.4</w:t>
      </w:r>
      <w:r w:rsidR="000E0E81">
        <w:t xml:space="preserve">.2. Actuarial Function Activities on Profit Sharing &amp; Rebates in </w:t>
      </w:r>
      <w:bookmarkEnd w:id="34"/>
      <w:r w:rsidR="000E0E81">
        <w:t>YYYY</w:t>
      </w:r>
    </w:p>
    <w:p w14:paraId="5F558081" w14:textId="77777777" w:rsidR="000E0E81" w:rsidRDefault="000E0E81" w:rsidP="000E0E81">
      <w:pPr>
        <w:rPr>
          <w:rStyle w:val="Intensievebenadrukking"/>
        </w:rPr>
      </w:pPr>
      <w:r>
        <w:rPr>
          <w:rStyle w:val="Intensievebenadrukking"/>
        </w:rPr>
        <w:t>List of Actuarial Function activities during the year.</w:t>
      </w:r>
    </w:p>
    <w:p w14:paraId="6E2FB2BF" w14:textId="77777777" w:rsidR="000E0E81" w:rsidRDefault="000E0E81" w:rsidP="000E0E81">
      <w:pPr>
        <w:rPr>
          <w:rStyle w:val="Intensievebenadrukking"/>
        </w:rPr>
      </w:pPr>
      <w:r>
        <w:rPr>
          <w:rStyle w:val="Intensievebenadrukking"/>
        </w:rPr>
        <w:t>References of the reports.</w:t>
      </w:r>
    </w:p>
    <w:p w14:paraId="36E93A14" w14:textId="77777777" w:rsidR="000E0E81" w:rsidRPr="00BB556E" w:rsidRDefault="000E0E81" w:rsidP="000E0E81"/>
    <w:p w14:paraId="2C65F24D" w14:textId="6C5A29B5" w:rsidR="000E0E81" w:rsidRDefault="00EB3084" w:rsidP="000E0E81">
      <w:pPr>
        <w:pStyle w:val="Kop3"/>
      </w:pPr>
      <w:bookmarkStart w:id="35" w:name="_Toc508793712"/>
      <w:r>
        <w:t>5.4</w:t>
      </w:r>
      <w:r w:rsidR="000E0E81">
        <w:t>.3. Conclusions on Profit Sharing &amp; Rebates</w:t>
      </w:r>
      <w:bookmarkEnd w:id="35"/>
    </w:p>
    <w:p w14:paraId="5E0D3010" w14:textId="77777777" w:rsidR="000E0E81" w:rsidRDefault="000E0E81" w:rsidP="000E0E81">
      <w:pPr>
        <w:rPr>
          <w:rStyle w:val="Intensievebenadrukking"/>
        </w:rPr>
      </w:pPr>
      <w:r>
        <w:rPr>
          <w:rStyle w:val="Intensievebenadrukking"/>
        </w:rPr>
        <w:t>Executive summary of the report(s) that the Actuarial Function produced during the year.</w:t>
      </w:r>
    </w:p>
    <w:p w14:paraId="3AF9C994" w14:textId="77777777" w:rsidR="000E0E81" w:rsidRDefault="000E0E81" w:rsidP="000E0E81">
      <w:pPr>
        <w:rPr>
          <w:rStyle w:val="Intensievebenadrukking"/>
        </w:rPr>
      </w:pPr>
      <w:r>
        <w:rPr>
          <w:rStyle w:val="Intensievebenadrukking"/>
        </w:rPr>
        <w:t>Remark: guidance w.r.t. the actuarial analysis and the content of the Actuarial Function Report will be produced by the IABE working group on Actuarial Function.</w:t>
      </w:r>
    </w:p>
    <w:p w14:paraId="1BB6FE98" w14:textId="77777777" w:rsidR="000E0E81" w:rsidRPr="00BB556E" w:rsidRDefault="000E0E81" w:rsidP="000E0E81"/>
    <w:p w14:paraId="5651E02A" w14:textId="512AA6C8" w:rsidR="000E0E81" w:rsidRDefault="00EB3084" w:rsidP="000E0E81">
      <w:pPr>
        <w:pStyle w:val="Kop3"/>
      </w:pPr>
      <w:bookmarkStart w:id="36" w:name="_Toc508793713"/>
      <w:r>
        <w:t>5.4</w:t>
      </w:r>
      <w:r w:rsidR="000E0E81">
        <w:t>.4. Recommendations on Profit Sharing &amp; Rebates</w:t>
      </w:r>
      <w:bookmarkEnd w:id="36"/>
    </w:p>
    <w:p w14:paraId="1E118805" w14:textId="77777777" w:rsidR="000E0E81" w:rsidRDefault="000E0E81" w:rsidP="000E0E81">
      <w:pPr>
        <w:rPr>
          <w:rStyle w:val="Intensievebenadrukking"/>
        </w:rPr>
      </w:pPr>
      <w:r>
        <w:rPr>
          <w:rStyle w:val="Intensievebenadrukking"/>
        </w:rPr>
        <w:t>New recommendations.</w:t>
      </w:r>
    </w:p>
    <w:p w14:paraId="219BFCB6" w14:textId="77777777" w:rsidR="000E0E81" w:rsidRPr="00217451" w:rsidRDefault="000E0E81" w:rsidP="000E0E81"/>
    <w:p w14:paraId="783AA43C" w14:textId="03EC2B3B" w:rsidR="000E0E81" w:rsidRDefault="00EB3084" w:rsidP="000E0E81">
      <w:pPr>
        <w:pStyle w:val="Kop3"/>
      </w:pPr>
      <w:r>
        <w:t>5.4</w:t>
      </w:r>
      <w:r w:rsidR="000E0E81">
        <w:t>.5. Summary of outstanding recommendations of previous reports</w:t>
      </w:r>
    </w:p>
    <w:p w14:paraId="7CBB94FE" w14:textId="77777777" w:rsidR="000E0E81" w:rsidRPr="00217451" w:rsidRDefault="000E0E81" w:rsidP="000E0E81">
      <w:r>
        <w:rPr>
          <w:rStyle w:val="Intensievebenadrukking"/>
        </w:rPr>
        <w:t>Follow-up on recommendations from previous years.</w:t>
      </w:r>
    </w:p>
    <w:p w14:paraId="78015F0D" w14:textId="49144543" w:rsidR="001A0840" w:rsidRPr="00095BE2" w:rsidRDefault="001A0840" w:rsidP="001A0840"/>
    <w:p w14:paraId="67A86331" w14:textId="1E965E56" w:rsidR="00465DCE" w:rsidRDefault="00EB3084" w:rsidP="00833617">
      <w:pPr>
        <w:pStyle w:val="Kop2"/>
      </w:pPr>
      <w:bookmarkStart w:id="37" w:name="_Toc508793733"/>
      <w:r>
        <w:t>5.5</w:t>
      </w:r>
      <w:r w:rsidR="00465DCE">
        <w:t>. Contribution to Risk Management</w:t>
      </w:r>
      <w:bookmarkEnd w:id="37"/>
    </w:p>
    <w:p w14:paraId="41F2372D" w14:textId="43BB35DE" w:rsidR="00BC508E" w:rsidRDefault="00EB3084" w:rsidP="00833617">
      <w:pPr>
        <w:pStyle w:val="Kop3"/>
      </w:pPr>
      <w:bookmarkStart w:id="38" w:name="_Toc508793734"/>
      <w:r>
        <w:t>5.5</w:t>
      </w:r>
      <w:r w:rsidR="00BC508E">
        <w:t xml:space="preserve">.1. Legal requirements for </w:t>
      </w:r>
      <w:r w:rsidR="00D043D4">
        <w:t xml:space="preserve">the Actuarial Function’s </w:t>
      </w:r>
      <w:r w:rsidR="008427A8">
        <w:t>Contribution to Risk Management</w:t>
      </w:r>
      <w:bookmarkEnd w:id="38"/>
    </w:p>
    <w:p w14:paraId="34D256F1" w14:textId="7A47567A" w:rsidR="006E79F1" w:rsidRDefault="001F2E12" w:rsidP="006E79F1">
      <w:r>
        <w:t xml:space="preserve">The </w:t>
      </w:r>
      <w:r w:rsidR="00860293">
        <w:t xml:space="preserve">Solvency II regulation regarding the </w:t>
      </w:r>
      <w:r w:rsidR="00D043D4">
        <w:t>Risk Management</w:t>
      </w:r>
      <w:r w:rsidR="004E7496">
        <w:t xml:space="preserve"> and the </w:t>
      </w:r>
      <w:r>
        <w:t xml:space="preserve">Actuarial Function’s </w:t>
      </w:r>
      <w:r w:rsidR="004E7496">
        <w:t>contribution to</w:t>
      </w:r>
      <w:r w:rsidR="006E79F1">
        <w:t xml:space="preserve"> this</w:t>
      </w:r>
      <w:r w:rsidR="00860293">
        <w:t xml:space="preserve"> </w:t>
      </w:r>
      <w:r w:rsidR="004E7496">
        <w:t xml:space="preserve">field </w:t>
      </w:r>
      <w:r w:rsidR="006E79F1">
        <w:t xml:space="preserve">is laid down in the documents listed </w:t>
      </w:r>
      <w:r>
        <w:t>in</w:t>
      </w:r>
      <w:r w:rsidR="006E79F1">
        <w:t xml:space="preserve"> the annex.</w:t>
      </w:r>
    </w:p>
    <w:p w14:paraId="54BDCF62" w14:textId="77777777" w:rsidR="009664BF" w:rsidRDefault="009664BF" w:rsidP="009664BF"/>
    <w:p w14:paraId="10C9C43D" w14:textId="73EE785E" w:rsidR="007D73D1" w:rsidRDefault="009664BF" w:rsidP="007D73D1">
      <w:r>
        <w:t>The Actuarial Function contributes</w:t>
      </w:r>
      <w:r w:rsidR="008535AF">
        <w:t xml:space="preserve"> to</w:t>
      </w:r>
      <w:r>
        <w:t xml:space="preserve"> the effec</w:t>
      </w:r>
      <w:r w:rsidR="00D043D4">
        <w:t xml:space="preserve">tive implementation of the risk </w:t>
      </w:r>
      <w:r>
        <w:t xml:space="preserve">management system referred to the own risk and solvency assessment </w:t>
      </w:r>
      <w:r w:rsidR="007052C4">
        <w:t xml:space="preserve">(ORSA) </w:t>
      </w:r>
      <w:r>
        <w:t>requirements, in particular with respect to the risk</w:t>
      </w:r>
      <w:r w:rsidR="008535AF">
        <w:t>s</w:t>
      </w:r>
      <w:r>
        <w:t xml:space="preserve"> underlying the calculation of the capital requirements</w:t>
      </w:r>
      <w:r w:rsidR="007052C4">
        <w:t xml:space="preserve"> and with respect to the</w:t>
      </w:r>
      <w:r w:rsidR="00073A9A">
        <w:t xml:space="preserve"> </w:t>
      </w:r>
      <w:r w:rsidR="007052C4">
        <w:t xml:space="preserve">assessment of the ORSA </w:t>
      </w:r>
      <w:r w:rsidR="00073A9A">
        <w:t>by:</w:t>
      </w:r>
    </w:p>
    <w:p w14:paraId="2779FF46" w14:textId="2437EE00" w:rsidR="00073A9A" w:rsidRDefault="00073A9A" w:rsidP="00B61304">
      <w:pPr>
        <w:pStyle w:val="Bullet1"/>
      </w:pPr>
      <w:r>
        <w:t>providing</w:t>
      </w:r>
      <w:r w:rsidR="007D73D1">
        <w:t xml:space="preserve"> input as to whether the undertaking would comply continuously with the requirements regarding the calculation of </w:t>
      </w:r>
      <w:r w:rsidR="00506E89">
        <w:t>Technical Provision</w:t>
      </w:r>
      <w:r w:rsidR="007D73D1">
        <w:t>s;</w:t>
      </w:r>
    </w:p>
    <w:p w14:paraId="0E42F33B" w14:textId="77777777" w:rsidR="009664BF" w:rsidRPr="009664BF" w:rsidRDefault="007D73D1" w:rsidP="00B61304">
      <w:pPr>
        <w:pStyle w:val="Bullet1"/>
      </w:pPr>
      <w:r>
        <w:t>identify</w:t>
      </w:r>
      <w:r w:rsidR="00073A9A">
        <w:t>ing</w:t>
      </w:r>
      <w:r>
        <w:t xml:space="preserve"> potential risks arising from the uncertainties connected to this calculation.</w:t>
      </w:r>
    </w:p>
    <w:p w14:paraId="416A842F" w14:textId="77777777" w:rsidR="003211BB" w:rsidRDefault="003211BB" w:rsidP="00BC508E"/>
    <w:p w14:paraId="3979C6E5" w14:textId="0296E5DB" w:rsidR="008427A8" w:rsidRDefault="007052C4" w:rsidP="00BC508E">
      <w:r>
        <w:t xml:space="preserve">In addition, if the undertaking develops an internal model to be submitted to the approval of the Supervisor, the Actuarial Function contributes to the specification of the risks </w:t>
      </w:r>
      <w:r w:rsidR="009A18E8">
        <w:t>in the Actuarial Function’s scope</w:t>
      </w:r>
      <w:r>
        <w:t xml:space="preserve"> that are covered by the internal model. </w:t>
      </w:r>
      <w:r w:rsidR="003211BB">
        <w:t xml:space="preserve">Based on a technical analysis that reflects the experience and the expertise of the Actuarial Function, it </w:t>
      </w:r>
      <w:r w:rsidR="009A18E8">
        <w:t>contributes to</w:t>
      </w:r>
      <w:r w:rsidR="00197B48">
        <w:t xml:space="preserve"> </w:t>
      </w:r>
      <w:r w:rsidR="009A18E8">
        <w:t>detect</w:t>
      </w:r>
      <w:r w:rsidR="00197B48">
        <w:t xml:space="preserve"> </w:t>
      </w:r>
      <w:r w:rsidR="003211BB">
        <w:t xml:space="preserve">the interactions between </w:t>
      </w:r>
      <w:r w:rsidR="009A18E8">
        <w:t xml:space="preserve">the </w:t>
      </w:r>
      <w:r w:rsidR="003211BB">
        <w:t>risks that are covered by the internal model and those not covered.</w:t>
      </w:r>
    </w:p>
    <w:p w14:paraId="439D463B" w14:textId="77777777" w:rsidR="007052C4" w:rsidRDefault="007052C4" w:rsidP="00BC508E"/>
    <w:p w14:paraId="0FD01C55" w14:textId="5C2B2685" w:rsidR="00BC508E" w:rsidRDefault="00EB3084" w:rsidP="00833617">
      <w:pPr>
        <w:pStyle w:val="Kop3"/>
      </w:pPr>
      <w:bookmarkStart w:id="39" w:name="_Toc508793735"/>
      <w:r>
        <w:lastRenderedPageBreak/>
        <w:t>5.5</w:t>
      </w:r>
      <w:r w:rsidR="00BC508E">
        <w:t xml:space="preserve">.2. Actuarial Function Activities </w:t>
      </w:r>
      <w:r w:rsidR="00D043D4">
        <w:t>w.r.t. its</w:t>
      </w:r>
      <w:r w:rsidR="00BC508E">
        <w:t xml:space="preserve"> </w:t>
      </w:r>
      <w:r w:rsidR="00D043D4">
        <w:t>c</w:t>
      </w:r>
      <w:r w:rsidR="008427A8">
        <w:t>ontribution to Risk Management</w:t>
      </w:r>
      <w:r w:rsidR="000D69D9">
        <w:t xml:space="preserve"> </w:t>
      </w:r>
      <w:r w:rsidR="00BC508E">
        <w:t>in</w:t>
      </w:r>
      <w:bookmarkEnd w:id="39"/>
      <w:r w:rsidR="00E67B21">
        <w:t xml:space="preserve"> YYYY</w:t>
      </w:r>
    </w:p>
    <w:p w14:paraId="773D6240" w14:textId="48C3A1B3" w:rsidR="00E67B21" w:rsidRDefault="00E67B21" w:rsidP="00E67B21">
      <w:pPr>
        <w:rPr>
          <w:rStyle w:val="Intensievebenadrukking"/>
        </w:rPr>
      </w:pPr>
      <w:r>
        <w:rPr>
          <w:rStyle w:val="Intensievebenadrukking"/>
        </w:rPr>
        <w:t>List of Actuarial Function activities during the year.</w:t>
      </w:r>
    </w:p>
    <w:p w14:paraId="08EF162F" w14:textId="77777777" w:rsidR="00E67B21" w:rsidRDefault="00E67B21" w:rsidP="00E67B21">
      <w:pPr>
        <w:rPr>
          <w:rStyle w:val="Intensievebenadrukking"/>
        </w:rPr>
      </w:pPr>
      <w:r>
        <w:rPr>
          <w:rStyle w:val="Intensievebenadrukking"/>
        </w:rPr>
        <w:t>References of the reports.</w:t>
      </w:r>
    </w:p>
    <w:p w14:paraId="2F1201A6" w14:textId="77777777" w:rsidR="00E67B21" w:rsidRPr="00E67B21" w:rsidRDefault="00E67B21" w:rsidP="00E67B21"/>
    <w:p w14:paraId="3DDB93E3" w14:textId="13B42AEF" w:rsidR="00BC508E" w:rsidRDefault="00EB3084" w:rsidP="00833617">
      <w:pPr>
        <w:pStyle w:val="Kop3"/>
      </w:pPr>
      <w:bookmarkStart w:id="40" w:name="_Toc508793736"/>
      <w:r>
        <w:t>5.5</w:t>
      </w:r>
      <w:r w:rsidR="00D043D4">
        <w:t>.3. Conclusions on Actuarial Function’s c</w:t>
      </w:r>
      <w:r w:rsidR="008427A8">
        <w:t>ontribution to Risk Management</w:t>
      </w:r>
      <w:bookmarkEnd w:id="40"/>
    </w:p>
    <w:p w14:paraId="3582752A" w14:textId="77777777" w:rsidR="00CD6D31" w:rsidRDefault="00CD6D31" w:rsidP="00CD6D31">
      <w:pPr>
        <w:rPr>
          <w:rStyle w:val="Intensievebenadrukking"/>
        </w:rPr>
      </w:pPr>
      <w:r>
        <w:rPr>
          <w:rStyle w:val="Intensievebenadrukking"/>
        </w:rPr>
        <w:t>Executive summary of the report(s) that the Actuarial Function produced during the year.</w:t>
      </w:r>
    </w:p>
    <w:p w14:paraId="68D59D2E" w14:textId="1A118F65" w:rsidR="00CD6D31" w:rsidRDefault="00CD6D31" w:rsidP="00CD6D31">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will be produced by the IABE work</w:t>
      </w:r>
      <w:r w:rsidR="0019710F">
        <w:rPr>
          <w:rStyle w:val="Intensievebenadrukking"/>
        </w:rPr>
        <w:t>ing</w:t>
      </w:r>
      <w:r>
        <w:rPr>
          <w:rStyle w:val="Intensievebenadrukking"/>
        </w:rPr>
        <w:t xml:space="preserve"> group on Actuarial Function.</w:t>
      </w:r>
    </w:p>
    <w:p w14:paraId="5F2611B2" w14:textId="77777777" w:rsidR="00CD6D31" w:rsidRPr="00CD6D31" w:rsidRDefault="00CD6D31" w:rsidP="00CD6D31"/>
    <w:p w14:paraId="2BC54F59" w14:textId="318DDA28" w:rsidR="00BC508E" w:rsidRDefault="00EB3084" w:rsidP="00833617">
      <w:pPr>
        <w:pStyle w:val="Kop3"/>
      </w:pPr>
      <w:bookmarkStart w:id="41" w:name="_Toc508793737"/>
      <w:r>
        <w:t>5.5</w:t>
      </w:r>
      <w:r w:rsidR="004374F2">
        <w:t>.4. Recommendations from the Actuarial Function’s c</w:t>
      </w:r>
      <w:r w:rsidR="008427A8">
        <w:t>ontribution to Risk Management</w:t>
      </w:r>
      <w:bookmarkEnd w:id="41"/>
    </w:p>
    <w:p w14:paraId="574A72BD" w14:textId="42EBC854" w:rsidR="00217451" w:rsidRDefault="00217451" w:rsidP="00217451">
      <w:pPr>
        <w:rPr>
          <w:rStyle w:val="Intensievebenadrukking"/>
        </w:rPr>
      </w:pPr>
      <w:r>
        <w:rPr>
          <w:rStyle w:val="Intensievebenadrukking"/>
        </w:rPr>
        <w:t>New recommendations.</w:t>
      </w:r>
    </w:p>
    <w:p w14:paraId="50CB3CB4" w14:textId="77777777" w:rsidR="00217451" w:rsidRPr="00217451" w:rsidRDefault="00217451" w:rsidP="00217451"/>
    <w:p w14:paraId="4B81C1AD" w14:textId="320F88B3" w:rsidR="00095BE2" w:rsidRDefault="00EB3084" w:rsidP="00833617">
      <w:pPr>
        <w:pStyle w:val="Kop3"/>
      </w:pPr>
      <w:r>
        <w:t>5.5</w:t>
      </w:r>
      <w:r w:rsidR="00095BE2">
        <w:t>.5. Summary of outstanding recommendations of previous reports</w:t>
      </w:r>
    </w:p>
    <w:p w14:paraId="050FE966" w14:textId="64A651E3" w:rsidR="00217451" w:rsidRPr="00217451" w:rsidRDefault="006B3445" w:rsidP="00217451">
      <w:r>
        <w:rPr>
          <w:rStyle w:val="Intensievebenadrukking"/>
        </w:rPr>
        <w:t>Follow-up on recommendations from previous years.</w:t>
      </w:r>
    </w:p>
    <w:p w14:paraId="4A27A9C6" w14:textId="4423A794" w:rsidR="003B0057" w:rsidRDefault="003B0057" w:rsidP="003B0057"/>
    <w:p w14:paraId="3EEA0B25" w14:textId="0947451B" w:rsidR="003069A8" w:rsidRDefault="00EB3084" w:rsidP="003069A8">
      <w:pPr>
        <w:pStyle w:val="Kop2"/>
      </w:pPr>
      <w:r>
        <w:t>5.6</w:t>
      </w:r>
      <w:r w:rsidR="00B56ABE">
        <w:t>. Tasks related to transitional m</w:t>
      </w:r>
      <w:r w:rsidR="003069A8">
        <w:t>easures</w:t>
      </w:r>
    </w:p>
    <w:p w14:paraId="33BA591E" w14:textId="6D9DFA2F" w:rsidR="003069A8" w:rsidRDefault="003069A8" w:rsidP="003069A8">
      <w:pPr>
        <w:pStyle w:val="Kop3"/>
      </w:pPr>
      <w:r>
        <w:t>5.</w:t>
      </w:r>
      <w:r w:rsidR="00EB3084">
        <w:t>6</w:t>
      </w:r>
      <w:r>
        <w:t xml:space="preserve">.1. Legal requirements for the Actuarial Function’s </w:t>
      </w:r>
      <w:r w:rsidR="00B56ABE">
        <w:t>tasks related to transitional m</w:t>
      </w:r>
      <w:r w:rsidR="007A5427">
        <w:t>easures</w:t>
      </w:r>
    </w:p>
    <w:p w14:paraId="73F22DF0" w14:textId="444A90D2" w:rsidR="003069A8" w:rsidRDefault="00712276" w:rsidP="004E7496">
      <w:r>
        <w:t xml:space="preserve">The </w:t>
      </w:r>
      <w:r w:rsidR="003069A8">
        <w:t xml:space="preserve">Solvency II regulation regarding the </w:t>
      </w:r>
      <w:r w:rsidR="00B56ABE">
        <w:t>Transitional measures</w:t>
      </w:r>
      <w:r w:rsidR="004E7496">
        <w:t xml:space="preserve"> and the </w:t>
      </w:r>
      <w:r>
        <w:t xml:space="preserve">Actuarial Function’s </w:t>
      </w:r>
      <w:r w:rsidR="004E7496">
        <w:t xml:space="preserve">contribution to this field </w:t>
      </w:r>
      <w:r w:rsidR="003069A8">
        <w:t xml:space="preserve">is laid down in the </w:t>
      </w:r>
      <w:r w:rsidR="004E7496">
        <w:t xml:space="preserve">documents listed </w:t>
      </w:r>
      <w:r>
        <w:t>in</w:t>
      </w:r>
      <w:r w:rsidR="004E7496">
        <w:t xml:space="preserve"> the annex.</w:t>
      </w:r>
    </w:p>
    <w:p w14:paraId="2CD935DE" w14:textId="1F420050" w:rsidR="003069A8" w:rsidRDefault="003069A8" w:rsidP="003069A8"/>
    <w:p w14:paraId="78428E68" w14:textId="77777777" w:rsidR="00E83EFD" w:rsidRDefault="00E9694E" w:rsidP="003069A8">
      <w:r>
        <w:t xml:space="preserve">The Actuarial Function must validate </w:t>
      </w:r>
      <w:r w:rsidR="00E83EFD">
        <w:t xml:space="preserve">: </w:t>
      </w:r>
    </w:p>
    <w:p w14:paraId="164C1822" w14:textId="1F31EB59" w:rsidR="003069A8" w:rsidRDefault="00E9694E" w:rsidP="00AC25FF">
      <w:pPr>
        <w:pStyle w:val="Bullet1"/>
      </w:pPr>
      <w:r>
        <w:t xml:space="preserve">the documentation </w:t>
      </w:r>
      <w:r w:rsidR="00E83EFD">
        <w:t>on the calculation of the transitional adjustment of the risk free interest rates and its impact on the items of the balance sheet and the SCR;</w:t>
      </w:r>
    </w:p>
    <w:p w14:paraId="591E6EE0" w14:textId="1DD42029" w:rsidR="00E83EFD" w:rsidRDefault="00E83EFD" w:rsidP="00AC25FF">
      <w:pPr>
        <w:pStyle w:val="Bullet1"/>
      </w:pPr>
      <w:r>
        <w:t xml:space="preserve">the amounts of </w:t>
      </w:r>
      <w:r w:rsidR="00506E89">
        <w:t>Technical Provision</w:t>
      </w:r>
      <w:r>
        <w:t>s to be recalculated biannually according the article 669 of the Belgian Solvency II law and its reporting into the QRT.</w:t>
      </w:r>
    </w:p>
    <w:p w14:paraId="6AFA11D7" w14:textId="77777777" w:rsidR="00E83EFD" w:rsidRPr="00E83EFD" w:rsidRDefault="00E83EFD"/>
    <w:p w14:paraId="00469344" w14:textId="5155D896" w:rsidR="003069A8" w:rsidRDefault="00EB3084" w:rsidP="003069A8">
      <w:pPr>
        <w:pStyle w:val="Kop3"/>
      </w:pPr>
      <w:r>
        <w:t>5.6</w:t>
      </w:r>
      <w:r w:rsidR="003069A8">
        <w:t xml:space="preserve">.2. Actuarial Function Activities w.r.t. its </w:t>
      </w:r>
      <w:r w:rsidR="00B56ABE">
        <w:t>tasks related to transitional measures</w:t>
      </w:r>
      <w:r w:rsidR="003069A8">
        <w:t xml:space="preserve"> in YYYY</w:t>
      </w:r>
    </w:p>
    <w:p w14:paraId="2E8C530C" w14:textId="40F47F4D" w:rsidR="003069A8" w:rsidRDefault="003069A8" w:rsidP="003069A8">
      <w:pPr>
        <w:rPr>
          <w:rStyle w:val="Intensievebenadrukking"/>
        </w:rPr>
      </w:pPr>
      <w:r>
        <w:rPr>
          <w:rStyle w:val="Intensievebenadrukking"/>
        </w:rPr>
        <w:t>List of Actuarial Function activities during the year.</w:t>
      </w:r>
    </w:p>
    <w:p w14:paraId="585AC7CE" w14:textId="77777777" w:rsidR="003069A8" w:rsidRDefault="003069A8" w:rsidP="003069A8">
      <w:pPr>
        <w:rPr>
          <w:rStyle w:val="Intensievebenadrukking"/>
        </w:rPr>
      </w:pPr>
      <w:r>
        <w:rPr>
          <w:rStyle w:val="Intensievebenadrukking"/>
        </w:rPr>
        <w:t>References of the reports.</w:t>
      </w:r>
    </w:p>
    <w:p w14:paraId="2DB006E6" w14:textId="77777777" w:rsidR="003069A8" w:rsidRPr="00E67B21" w:rsidRDefault="003069A8" w:rsidP="003069A8"/>
    <w:p w14:paraId="55056FF5" w14:textId="60961D68" w:rsidR="003069A8" w:rsidRDefault="00EB3084" w:rsidP="003069A8">
      <w:pPr>
        <w:pStyle w:val="Kop3"/>
      </w:pPr>
      <w:r>
        <w:t>5.6</w:t>
      </w:r>
      <w:r w:rsidR="003069A8">
        <w:t xml:space="preserve">.3. Conclusions on Actuarial Function’s </w:t>
      </w:r>
      <w:r w:rsidR="00B56ABE">
        <w:t>tasks related to transitional measures</w:t>
      </w:r>
    </w:p>
    <w:p w14:paraId="4CA4F201" w14:textId="77777777" w:rsidR="003069A8" w:rsidRDefault="003069A8" w:rsidP="003069A8">
      <w:pPr>
        <w:rPr>
          <w:rStyle w:val="Intensievebenadrukking"/>
        </w:rPr>
      </w:pPr>
      <w:r>
        <w:rPr>
          <w:rStyle w:val="Intensievebenadrukking"/>
        </w:rPr>
        <w:t>Executive summary of the report(s) that the Actuarial Function produced during the year.</w:t>
      </w:r>
    </w:p>
    <w:p w14:paraId="6EE4EEB2" w14:textId="61AEFD3C" w:rsidR="003069A8" w:rsidRDefault="003069A8" w:rsidP="003069A8">
      <w:pPr>
        <w:rPr>
          <w:rStyle w:val="Intensievebenadrukking"/>
        </w:rPr>
      </w:pPr>
      <w:r>
        <w:rPr>
          <w:rStyle w:val="Intensievebenadrukking"/>
        </w:rPr>
        <w:t xml:space="preserve">Remark: </w:t>
      </w:r>
      <w:r w:rsidR="003577A5">
        <w:rPr>
          <w:rStyle w:val="Intensievebenadrukking"/>
        </w:rPr>
        <w:t>guidance</w:t>
      </w:r>
      <w:r>
        <w:rPr>
          <w:rStyle w:val="Intensievebenadrukking"/>
        </w:rPr>
        <w:t xml:space="preserve"> w.r.t. the actuarial analysis and the content of the Actuarial Function Report will be produced by the IABE work</w:t>
      </w:r>
      <w:r w:rsidR="0019710F">
        <w:rPr>
          <w:rStyle w:val="Intensievebenadrukking"/>
        </w:rPr>
        <w:t>ing</w:t>
      </w:r>
      <w:r>
        <w:rPr>
          <w:rStyle w:val="Intensievebenadrukking"/>
        </w:rPr>
        <w:t xml:space="preserve"> group on Actuarial Function.</w:t>
      </w:r>
    </w:p>
    <w:p w14:paraId="5FA616CD" w14:textId="77777777" w:rsidR="003069A8" w:rsidRPr="00CD6D31" w:rsidRDefault="003069A8" w:rsidP="003069A8"/>
    <w:p w14:paraId="01C5A54C" w14:textId="7BB0BED8" w:rsidR="003069A8" w:rsidRDefault="00EB3084" w:rsidP="003069A8">
      <w:pPr>
        <w:pStyle w:val="Kop3"/>
      </w:pPr>
      <w:r>
        <w:t>5.6</w:t>
      </w:r>
      <w:r w:rsidR="003069A8">
        <w:t xml:space="preserve">.4. Recommendations from the Actuarial Function’s </w:t>
      </w:r>
      <w:r w:rsidR="00B56ABE">
        <w:t>tasks related to transitional measures</w:t>
      </w:r>
    </w:p>
    <w:p w14:paraId="1662FA87" w14:textId="77777777" w:rsidR="003069A8" w:rsidRDefault="003069A8" w:rsidP="003069A8">
      <w:pPr>
        <w:rPr>
          <w:rStyle w:val="Intensievebenadrukking"/>
        </w:rPr>
      </w:pPr>
      <w:r>
        <w:rPr>
          <w:rStyle w:val="Intensievebenadrukking"/>
        </w:rPr>
        <w:t>New recommendations.</w:t>
      </w:r>
    </w:p>
    <w:p w14:paraId="6E31BD12" w14:textId="77777777" w:rsidR="003069A8" w:rsidRPr="00217451" w:rsidRDefault="003069A8" w:rsidP="003069A8"/>
    <w:p w14:paraId="052F5CF2" w14:textId="52BFD666" w:rsidR="003069A8" w:rsidRDefault="00EB3084" w:rsidP="003069A8">
      <w:pPr>
        <w:pStyle w:val="Kop3"/>
      </w:pPr>
      <w:r>
        <w:t>5.6</w:t>
      </w:r>
      <w:r w:rsidR="003069A8">
        <w:t>.5. Summary of outstanding recommendations of previous reports</w:t>
      </w:r>
    </w:p>
    <w:p w14:paraId="050D57B4" w14:textId="49EFA6D4" w:rsidR="003069A8" w:rsidRPr="00217451" w:rsidRDefault="006B3445" w:rsidP="003069A8">
      <w:r>
        <w:rPr>
          <w:rStyle w:val="Intensievebenadrukking"/>
        </w:rPr>
        <w:t>Follow-up on recommendations from previous years.</w:t>
      </w:r>
    </w:p>
    <w:p w14:paraId="6BEA592C" w14:textId="77777777" w:rsidR="003069A8" w:rsidRDefault="003069A8" w:rsidP="003069A8"/>
    <w:p w14:paraId="7E41CEBF" w14:textId="1648E99F" w:rsidR="003B0057" w:rsidRDefault="00EB3084" w:rsidP="0058212D">
      <w:pPr>
        <w:pStyle w:val="Kop2"/>
      </w:pPr>
      <w:r>
        <w:t>5.7</w:t>
      </w:r>
      <w:r w:rsidR="003B0057">
        <w:t>. Other tasks and activities to be performed by the Actuarial Function</w:t>
      </w:r>
      <w:r w:rsidR="00AF5F7F">
        <w:t xml:space="preserve"> outside the Solvency II Framework</w:t>
      </w:r>
    </w:p>
    <w:p w14:paraId="697CBF00" w14:textId="4C4C65B7" w:rsidR="00AF5F7F" w:rsidRDefault="00FB1D24" w:rsidP="00FB1D24">
      <w:pPr>
        <w:rPr>
          <w:rStyle w:val="Intensievebenadrukking"/>
        </w:rPr>
      </w:pPr>
      <w:r>
        <w:rPr>
          <w:rStyle w:val="Intensievebenadrukking"/>
        </w:rPr>
        <w:t>This section contains the list of all activities</w:t>
      </w:r>
      <w:r w:rsidR="00AF5F7F">
        <w:rPr>
          <w:rStyle w:val="Intensievebenadrukking"/>
        </w:rPr>
        <w:t xml:space="preserve"> and reports</w:t>
      </w:r>
      <w:r>
        <w:rPr>
          <w:rStyle w:val="Intensievebenadrukking"/>
        </w:rPr>
        <w:t xml:space="preserve"> performed by the Actuarial Function during the year </w:t>
      </w:r>
      <w:r w:rsidR="00AF5F7F">
        <w:rPr>
          <w:rStyle w:val="Intensievebenadrukking"/>
        </w:rPr>
        <w:t>other</w:t>
      </w:r>
      <w:r>
        <w:rPr>
          <w:rStyle w:val="Intensievebenadrukking"/>
        </w:rPr>
        <w:t xml:space="preserve"> than Solvency II</w:t>
      </w:r>
      <w:r w:rsidR="00AF5F7F">
        <w:rPr>
          <w:rStyle w:val="Intensievebenadrukking"/>
        </w:rPr>
        <w:t xml:space="preserve"> activities</w:t>
      </w:r>
      <w:r w:rsidR="008814D4">
        <w:rPr>
          <w:rStyle w:val="Intensievebenadrukking"/>
        </w:rPr>
        <w:t>. For instance,</w:t>
      </w:r>
      <w:r>
        <w:rPr>
          <w:rStyle w:val="Intensievebenadrukking"/>
        </w:rPr>
        <w:t xml:space="preserve"> the duties of the former Appointed Actuary in WAP/LPC, IRP2 Activities,</w:t>
      </w:r>
      <w:r w:rsidR="008F6D63">
        <w:rPr>
          <w:rStyle w:val="Intensievebenadrukking"/>
        </w:rPr>
        <w:t xml:space="preserve"> </w:t>
      </w:r>
      <w:r>
        <w:rPr>
          <w:rStyle w:val="Intensievebenadrukking"/>
        </w:rPr>
        <w:t xml:space="preserve">the review of policies and </w:t>
      </w:r>
      <w:r w:rsidR="003577A5">
        <w:rPr>
          <w:rStyle w:val="Intensievebenadrukking"/>
        </w:rPr>
        <w:t>guidance</w:t>
      </w:r>
      <w:r w:rsidR="00AF5F7F">
        <w:rPr>
          <w:rStyle w:val="Intensievebenadrukking"/>
        </w:rPr>
        <w:t>, etc.</w:t>
      </w:r>
    </w:p>
    <w:p w14:paraId="1A6253B6" w14:textId="7C7DBDAA" w:rsidR="00FB1D24" w:rsidRDefault="00AF5F7F" w:rsidP="00FB1D24">
      <w:pPr>
        <w:rPr>
          <w:rStyle w:val="Intensievebenadrukking"/>
        </w:rPr>
      </w:pPr>
      <w:r>
        <w:rPr>
          <w:rStyle w:val="Intensievebenadrukking"/>
        </w:rPr>
        <w:t xml:space="preserve">Evidences on the absence of conflicts of interest with Solvency II activities must be documented. </w:t>
      </w:r>
    </w:p>
    <w:p w14:paraId="7EE223A2" w14:textId="163D9915" w:rsidR="00511169" w:rsidRDefault="00511169" w:rsidP="00511169"/>
    <w:p w14:paraId="54266F01" w14:textId="38FA8E47" w:rsidR="00E925DB" w:rsidRDefault="005F3518" w:rsidP="00E925DB">
      <w:pPr>
        <w:pStyle w:val="Kop1"/>
      </w:pPr>
      <w:r>
        <w:lastRenderedPageBreak/>
        <w:t>6</w:t>
      </w:r>
      <w:r w:rsidR="00E925DB">
        <w:t>. Appendices</w:t>
      </w:r>
    </w:p>
    <w:p w14:paraId="2D4EEC5F" w14:textId="40D10ACD" w:rsidR="00E925DB" w:rsidRPr="00E925DB" w:rsidRDefault="00E925DB" w:rsidP="00E925DB">
      <w:pPr>
        <w:rPr>
          <w:rStyle w:val="Intensievebenadrukking"/>
        </w:rPr>
      </w:pPr>
      <w:r w:rsidRPr="00E925DB">
        <w:rPr>
          <w:rStyle w:val="Intensievebenadrukking"/>
        </w:rPr>
        <w:t>This</w:t>
      </w:r>
      <w:r>
        <w:rPr>
          <w:rStyle w:val="Intensievebenadrukking"/>
        </w:rPr>
        <w:t xml:space="preserve"> section contains</w:t>
      </w:r>
      <w:r w:rsidR="005F3518">
        <w:rPr>
          <w:rStyle w:val="Intensievebenadrukking"/>
        </w:rPr>
        <w:t xml:space="preserve"> t</w:t>
      </w:r>
      <w:r w:rsidR="00640181">
        <w:rPr>
          <w:rStyle w:val="Intensievebenadrukking"/>
        </w:rPr>
        <w:t xml:space="preserve">he relevant technical </w:t>
      </w:r>
      <w:r w:rsidR="00CB0A0B">
        <w:rPr>
          <w:rStyle w:val="Intensievebenadrukking"/>
        </w:rPr>
        <w:t>documents including the</w:t>
      </w:r>
      <w:r w:rsidR="00640181">
        <w:rPr>
          <w:rStyle w:val="Intensievebenadrukking"/>
        </w:rPr>
        <w:t xml:space="preserve"> analyses and tests </w:t>
      </w:r>
      <w:r w:rsidR="00CB0A0B">
        <w:rPr>
          <w:rStyle w:val="Intensievebenadrukking"/>
        </w:rPr>
        <w:t xml:space="preserve">performed by the Actuarial Function </w:t>
      </w:r>
      <w:r w:rsidR="00640181">
        <w:rPr>
          <w:rStyle w:val="Intensievebenadrukking"/>
        </w:rPr>
        <w:t>on which the Actuarial Function assessment</w:t>
      </w:r>
      <w:r w:rsidR="008B7FEF">
        <w:rPr>
          <w:rStyle w:val="Intensievebenadrukking"/>
        </w:rPr>
        <w:t>s</w:t>
      </w:r>
      <w:r w:rsidR="00640181">
        <w:rPr>
          <w:rStyle w:val="Intensievebenadrukking"/>
        </w:rPr>
        <w:t xml:space="preserve"> and statement</w:t>
      </w:r>
      <w:r w:rsidR="008B7FEF">
        <w:rPr>
          <w:rStyle w:val="Intensievebenadrukking"/>
        </w:rPr>
        <w:t>s</w:t>
      </w:r>
      <w:r w:rsidR="00640181">
        <w:rPr>
          <w:rStyle w:val="Intensievebenadrukking"/>
        </w:rPr>
        <w:t xml:space="preserve"> are based.</w:t>
      </w:r>
    </w:p>
    <w:p w14:paraId="61B249E6" w14:textId="26DC8634" w:rsidR="000800C7" w:rsidRDefault="000800C7">
      <w:pPr>
        <w:spacing w:after="160" w:line="259" w:lineRule="auto"/>
        <w:jc w:val="left"/>
      </w:pPr>
    </w:p>
    <w:p w14:paraId="29D9DF5F" w14:textId="77777777" w:rsidR="000800C7" w:rsidRDefault="000800C7" w:rsidP="00511169">
      <w:pPr>
        <w:sectPr w:rsidR="000800C7" w:rsidSect="000800C7">
          <w:footerReference w:type="default" r:id="rId8"/>
          <w:pgSz w:w="11906" w:h="16838"/>
          <w:pgMar w:top="1440" w:right="1077" w:bottom="1440" w:left="1077" w:header="709" w:footer="709" w:gutter="0"/>
          <w:cols w:space="708"/>
          <w:docGrid w:linePitch="360"/>
        </w:sectPr>
      </w:pPr>
    </w:p>
    <w:p w14:paraId="54D9A909" w14:textId="138EEEF9" w:rsidR="00511169" w:rsidRDefault="000800C7" w:rsidP="000800C7">
      <w:pPr>
        <w:pStyle w:val="Kop1"/>
      </w:pPr>
      <w:r>
        <w:lastRenderedPageBreak/>
        <w:t>Annex – Regulations</w:t>
      </w:r>
    </w:p>
    <w:p w14:paraId="1DCF77FD" w14:textId="7CC01992" w:rsidR="000800C7" w:rsidRDefault="00033FF1" w:rsidP="00511169">
      <w:r w:rsidRPr="00033FF1">
        <w:rPr>
          <w:noProof/>
        </w:rPr>
        <w:drawing>
          <wp:inline distT="0" distB="0" distL="0" distR="0" wp14:anchorId="576CC3A2" wp14:editId="35136EC6">
            <wp:extent cx="8889248" cy="5405932"/>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3972" cy="5414886"/>
                    </a:xfrm>
                    <a:prstGeom prst="rect">
                      <a:avLst/>
                    </a:prstGeom>
                    <a:noFill/>
                    <a:ln>
                      <a:noFill/>
                    </a:ln>
                  </pic:spPr>
                </pic:pic>
              </a:graphicData>
            </a:graphic>
          </wp:inline>
        </w:drawing>
      </w:r>
    </w:p>
    <w:p w14:paraId="560CB051" w14:textId="650213AF" w:rsidR="000800C7" w:rsidRDefault="000800C7" w:rsidP="00511169"/>
    <w:p w14:paraId="1BBA2041" w14:textId="6EAE274F" w:rsidR="000800C7" w:rsidRDefault="001B1305" w:rsidP="00511169">
      <w:r w:rsidRPr="001B1305">
        <w:rPr>
          <w:noProof/>
        </w:rPr>
        <w:lastRenderedPageBreak/>
        <w:drawing>
          <wp:inline distT="0" distB="0" distL="0" distR="0" wp14:anchorId="0E5FF121" wp14:editId="21F34D98">
            <wp:extent cx="8863330" cy="2958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2958105"/>
                    </a:xfrm>
                    <a:prstGeom prst="rect">
                      <a:avLst/>
                    </a:prstGeom>
                    <a:noFill/>
                    <a:ln>
                      <a:noFill/>
                    </a:ln>
                  </pic:spPr>
                </pic:pic>
              </a:graphicData>
            </a:graphic>
          </wp:inline>
        </w:drawing>
      </w:r>
    </w:p>
    <w:p w14:paraId="6A811C5E" w14:textId="77777777" w:rsidR="000800C7" w:rsidRPr="00511169" w:rsidRDefault="000800C7" w:rsidP="00511169"/>
    <w:sectPr w:rsidR="000800C7" w:rsidRPr="00511169" w:rsidSect="000800C7">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9AF2" w14:textId="77777777" w:rsidR="005E29AE" w:rsidRDefault="005E29AE" w:rsidP="00C13EB1">
      <w:r>
        <w:separator/>
      </w:r>
    </w:p>
  </w:endnote>
  <w:endnote w:type="continuationSeparator" w:id="0">
    <w:p w14:paraId="01B431E1" w14:textId="77777777" w:rsidR="005E29AE" w:rsidRDefault="005E29AE" w:rsidP="00C1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8BDB" w14:textId="76251816" w:rsidR="003215A1" w:rsidRDefault="003215A1" w:rsidP="00F722DA">
    <w:pPr>
      <w:pStyle w:val="Voettekst"/>
    </w:pPr>
    <w:r>
      <w:t xml:space="preserve">IABE – Actuarial Function Workgroup – </w:t>
    </w:r>
    <w:r w:rsidR="00CA705D">
      <w:t>13</w:t>
    </w:r>
    <w:r w:rsidR="009857FC">
      <w:t>/</w:t>
    </w:r>
    <w:r w:rsidR="00CA705D">
      <w:t>11</w:t>
    </w:r>
    <w:r>
      <w:t xml:space="preserve">/2018 – </w:t>
    </w:r>
    <w:r w:rsidR="00E26120">
      <w:t>Final version</w:t>
    </w:r>
    <w:r w:rsidR="00A13F8F">
      <w:t xml:space="preserve"> 3.0</w:t>
    </w:r>
    <w:r>
      <w:tab/>
    </w:r>
    <w:r>
      <w:tab/>
    </w:r>
    <w:sdt>
      <w:sdtPr>
        <w:id w:val="1820457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3F8F">
          <w:rPr>
            <w:noProof/>
          </w:rPr>
          <w:t>11</w:t>
        </w:r>
        <w:r>
          <w:rPr>
            <w:noProof/>
          </w:rPr>
          <w:fldChar w:fldCharType="end"/>
        </w:r>
      </w:sdtContent>
    </w:sdt>
  </w:p>
  <w:p w14:paraId="26261B90" w14:textId="77777777" w:rsidR="003215A1" w:rsidRDefault="003215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464C" w14:textId="77777777" w:rsidR="005E29AE" w:rsidRDefault="005E29AE" w:rsidP="00C13EB1">
      <w:r>
        <w:separator/>
      </w:r>
    </w:p>
  </w:footnote>
  <w:footnote w:type="continuationSeparator" w:id="0">
    <w:p w14:paraId="7671F67A" w14:textId="77777777" w:rsidR="005E29AE" w:rsidRDefault="005E29AE" w:rsidP="00C13EB1">
      <w:r>
        <w:continuationSeparator/>
      </w:r>
    </w:p>
  </w:footnote>
  <w:footnote w:id="1">
    <w:p w14:paraId="3A117199" w14:textId="67CC3F6A" w:rsidR="003239E1" w:rsidRPr="003239E1" w:rsidRDefault="003239E1">
      <w:pPr>
        <w:pStyle w:val="Voetnoottekst"/>
        <w:rPr>
          <w:lang w:val="fr-BE"/>
        </w:rPr>
      </w:pPr>
      <w:r>
        <w:rPr>
          <w:rStyle w:val="Voetnootmarkering"/>
        </w:rPr>
        <w:footnoteRef/>
      </w:r>
      <w:r>
        <w:t xml:space="preserve"> </w:t>
      </w:r>
      <w:r>
        <w:rPr>
          <w:lang w:val="fr-BE"/>
        </w:rPr>
        <w:t>Knipperlicht-Clignotant</w:t>
      </w:r>
    </w:p>
  </w:footnote>
  <w:footnote w:id="2">
    <w:p w14:paraId="61A8D3CE" w14:textId="12F5D53C" w:rsidR="000A0FA8" w:rsidRPr="000A0FA8" w:rsidRDefault="000A0FA8">
      <w:pPr>
        <w:pStyle w:val="Voetnoottekst"/>
        <w:rPr>
          <w:lang w:val="fr-BE"/>
        </w:rPr>
      </w:pPr>
      <w:r>
        <w:rPr>
          <w:rStyle w:val="Voetnootmarkering"/>
        </w:rPr>
        <w:footnoteRef/>
      </w:r>
      <w:r>
        <w:t xml:space="preserve"> </w:t>
      </w:r>
      <w:r>
        <w:rPr>
          <w:lang w:val="fr-BE"/>
        </w:rPr>
        <w:t>Knipperlicht-Clignotant</w:t>
      </w:r>
    </w:p>
  </w:footnote>
  <w:footnote w:id="3">
    <w:p w14:paraId="68E79A72" w14:textId="77777777" w:rsidR="000E0E81" w:rsidRPr="00E44939" w:rsidRDefault="000E0E81" w:rsidP="000E0E81">
      <w:pPr>
        <w:pStyle w:val="Voetnoottekst"/>
      </w:pPr>
      <w:r>
        <w:rPr>
          <w:rStyle w:val="Voetnootmarkering"/>
        </w:rPr>
        <w:footnoteRef/>
      </w:r>
      <w:r>
        <w:t xml:space="preserve"> </w:t>
      </w:r>
      <w:r w:rsidRPr="00E44939">
        <w:t>Free translation.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C66"/>
    <w:multiLevelType w:val="hybridMultilevel"/>
    <w:tmpl w:val="0738600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447A08"/>
    <w:multiLevelType w:val="hybridMultilevel"/>
    <w:tmpl w:val="E1FE8B88"/>
    <w:lvl w:ilvl="0" w:tplc="1504BB3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3DC3"/>
    <w:multiLevelType w:val="hybridMultilevel"/>
    <w:tmpl w:val="4E708632"/>
    <w:lvl w:ilvl="0" w:tplc="447CDC76">
      <w:start w:val="1"/>
      <w:numFmt w:val="decimal"/>
      <w:pStyle w:val="Number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8410A2"/>
    <w:multiLevelType w:val="hybridMultilevel"/>
    <w:tmpl w:val="0E6461E2"/>
    <w:lvl w:ilvl="0" w:tplc="769A525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1E22"/>
    <w:multiLevelType w:val="hybridMultilevel"/>
    <w:tmpl w:val="7236FBFE"/>
    <w:lvl w:ilvl="0" w:tplc="B7C2175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624E7"/>
    <w:multiLevelType w:val="hybridMultilevel"/>
    <w:tmpl w:val="DF2E9118"/>
    <w:lvl w:ilvl="0" w:tplc="34E6A5BC">
      <w:start w:val="1"/>
      <w:numFmt w:val="lowerLetter"/>
      <w:pStyle w:val="Letter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F3125A"/>
    <w:multiLevelType w:val="hybridMultilevel"/>
    <w:tmpl w:val="8EF24D0A"/>
    <w:lvl w:ilvl="0" w:tplc="AD0AD406">
      <w:start w:val="1"/>
      <w:numFmt w:val="bullet"/>
      <w:pStyle w:val="Bullet2"/>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01B7AE2"/>
    <w:multiLevelType w:val="hybridMultilevel"/>
    <w:tmpl w:val="23ACE7AA"/>
    <w:lvl w:ilvl="0" w:tplc="F82EB128">
      <w:start w:val="1"/>
      <w:numFmt w:val="bullet"/>
      <w:pStyle w:val="Bullet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70D0F9A"/>
    <w:multiLevelType w:val="hybridMultilevel"/>
    <w:tmpl w:val="534E52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AEE5803"/>
    <w:multiLevelType w:val="hybridMultilevel"/>
    <w:tmpl w:val="B3229962"/>
    <w:lvl w:ilvl="0" w:tplc="A54276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85439"/>
    <w:multiLevelType w:val="hybridMultilevel"/>
    <w:tmpl w:val="7DD033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7"/>
  </w:num>
  <w:num w:numId="5">
    <w:abstractNumId w:val="6"/>
  </w:num>
  <w:num w:numId="6">
    <w:abstractNumId w:val="2"/>
  </w:num>
  <w:num w:numId="7">
    <w:abstractNumId w:val="5"/>
  </w:num>
  <w:num w:numId="8">
    <w:abstractNumId w:val="5"/>
    <w:lvlOverride w:ilvl="0">
      <w:startOverride w:val="1"/>
    </w:lvlOverride>
  </w:num>
  <w:num w:numId="9">
    <w:abstractNumId w:val="5"/>
    <w:lvlOverride w:ilvl="0">
      <w:startOverride w:val="1"/>
    </w:lvlOverride>
  </w:num>
  <w:num w:numId="10">
    <w:abstractNumId w:val="9"/>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F5"/>
    <w:rsid w:val="000005D4"/>
    <w:rsid w:val="00007853"/>
    <w:rsid w:val="000134A9"/>
    <w:rsid w:val="00015E01"/>
    <w:rsid w:val="00017345"/>
    <w:rsid w:val="00020006"/>
    <w:rsid w:val="0002073F"/>
    <w:rsid w:val="000229A5"/>
    <w:rsid w:val="000333ED"/>
    <w:rsid w:val="00033FF1"/>
    <w:rsid w:val="000412CF"/>
    <w:rsid w:val="00042ACB"/>
    <w:rsid w:val="0004653B"/>
    <w:rsid w:val="000470FB"/>
    <w:rsid w:val="0005782C"/>
    <w:rsid w:val="00061E66"/>
    <w:rsid w:val="00062BE3"/>
    <w:rsid w:val="00073A9A"/>
    <w:rsid w:val="00073EC3"/>
    <w:rsid w:val="000759E2"/>
    <w:rsid w:val="00077D35"/>
    <w:rsid w:val="000800C7"/>
    <w:rsid w:val="00083627"/>
    <w:rsid w:val="00087E3D"/>
    <w:rsid w:val="00091C70"/>
    <w:rsid w:val="000928F3"/>
    <w:rsid w:val="00095BE2"/>
    <w:rsid w:val="00097740"/>
    <w:rsid w:val="000A0FA8"/>
    <w:rsid w:val="000A2636"/>
    <w:rsid w:val="000A6EAE"/>
    <w:rsid w:val="000B1728"/>
    <w:rsid w:val="000B515E"/>
    <w:rsid w:val="000C0260"/>
    <w:rsid w:val="000D1C74"/>
    <w:rsid w:val="000D1FCE"/>
    <w:rsid w:val="000D2EF1"/>
    <w:rsid w:val="000D6770"/>
    <w:rsid w:val="000D69D9"/>
    <w:rsid w:val="000E0E81"/>
    <w:rsid w:val="000E2F44"/>
    <w:rsid w:val="000E47B7"/>
    <w:rsid w:val="000E64C9"/>
    <w:rsid w:val="000E6565"/>
    <w:rsid w:val="000E6956"/>
    <w:rsid w:val="000F732F"/>
    <w:rsid w:val="00100BB9"/>
    <w:rsid w:val="001043E1"/>
    <w:rsid w:val="00105FB7"/>
    <w:rsid w:val="001136C5"/>
    <w:rsid w:val="001138C5"/>
    <w:rsid w:val="00114039"/>
    <w:rsid w:val="0011466B"/>
    <w:rsid w:val="00124B21"/>
    <w:rsid w:val="00130D11"/>
    <w:rsid w:val="0013195B"/>
    <w:rsid w:val="001332C2"/>
    <w:rsid w:val="00140768"/>
    <w:rsid w:val="00142FC0"/>
    <w:rsid w:val="00145242"/>
    <w:rsid w:val="00150A4E"/>
    <w:rsid w:val="00154260"/>
    <w:rsid w:val="00160BE4"/>
    <w:rsid w:val="0016471A"/>
    <w:rsid w:val="001663E8"/>
    <w:rsid w:val="001756E6"/>
    <w:rsid w:val="0017644F"/>
    <w:rsid w:val="00184460"/>
    <w:rsid w:val="00186A3D"/>
    <w:rsid w:val="0019710F"/>
    <w:rsid w:val="00197B48"/>
    <w:rsid w:val="001A0840"/>
    <w:rsid w:val="001A2789"/>
    <w:rsid w:val="001A6CB3"/>
    <w:rsid w:val="001B06CD"/>
    <w:rsid w:val="001B1305"/>
    <w:rsid w:val="001B4B3D"/>
    <w:rsid w:val="001C297E"/>
    <w:rsid w:val="001C40BF"/>
    <w:rsid w:val="001C5EEA"/>
    <w:rsid w:val="001C646B"/>
    <w:rsid w:val="001D7A1D"/>
    <w:rsid w:val="001E216C"/>
    <w:rsid w:val="001E5AFD"/>
    <w:rsid w:val="001E7333"/>
    <w:rsid w:val="001F2E12"/>
    <w:rsid w:val="0020159F"/>
    <w:rsid w:val="002048DA"/>
    <w:rsid w:val="00205559"/>
    <w:rsid w:val="002058C5"/>
    <w:rsid w:val="002071F6"/>
    <w:rsid w:val="00207520"/>
    <w:rsid w:val="00210237"/>
    <w:rsid w:val="00211661"/>
    <w:rsid w:val="00216568"/>
    <w:rsid w:val="00217451"/>
    <w:rsid w:val="002175A9"/>
    <w:rsid w:val="00222E2E"/>
    <w:rsid w:val="00224E1D"/>
    <w:rsid w:val="0023156D"/>
    <w:rsid w:val="00233CA2"/>
    <w:rsid w:val="00237A25"/>
    <w:rsid w:val="00241395"/>
    <w:rsid w:val="00253B11"/>
    <w:rsid w:val="00262962"/>
    <w:rsid w:val="00262D59"/>
    <w:rsid w:val="002632E2"/>
    <w:rsid w:val="0026556A"/>
    <w:rsid w:val="00267CF9"/>
    <w:rsid w:val="00274608"/>
    <w:rsid w:val="00276E7E"/>
    <w:rsid w:val="00286634"/>
    <w:rsid w:val="002936CB"/>
    <w:rsid w:val="00294D77"/>
    <w:rsid w:val="00296212"/>
    <w:rsid w:val="002A1572"/>
    <w:rsid w:val="002A77FE"/>
    <w:rsid w:val="002B0967"/>
    <w:rsid w:val="002B37B1"/>
    <w:rsid w:val="002B70E7"/>
    <w:rsid w:val="002B737A"/>
    <w:rsid w:val="002C0E84"/>
    <w:rsid w:val="002C3888"/>
    <w:rsid w:val="002C39DF"/>
    <w:rsid w:val="002C4084"/>
    <w:rsid w:val="002E004E"/>
    <w:rsid w:val="002E1584"/>
    <w:rsid w:val="002E42DA"/>
    <w:rsid w:val="002F600C"/>
    <w:rsid w:val="00300E9C"/>
    <w:rsid w:val="003010F9"/>
    <w:rsid w:val="00301313"/>
    <w:rsid w:val="003069A8"/>
    <w:rsid w:val="00312C0B"/>
    <w:rsid w:val="00315832"/>
    <w:rsid w:val="00316848"/>
    <w:rsid w:val="003211BB"/>
    <w:rsid w:val="003215A1"/>
    <w:rsid w:val="003239E1"/>
    <w:rsid w:val="0032559F"/>
    <w:rsid w:val="00325661"/>
    <w:rsid w:val="0033060E"/>
    <w:rsid w:val="003443E1"/>
    <w:rsid w:val="003505BE"/>
    <w:rsid w:val="00355620"/>
    <w:rsid w:val="003577A5"/>
    <w:rsid w:val="0036167F"/>
    <w:rsid w:val="00362308"/>
    <w:rsid w:val="00367CC8"/>
    <w:rsid w:val="00377200"/>
    <w:rsid w:val="003807AD"/>
    <w:rsid w:val="00381F66"/>
    <w:rsid w:val="003842FC"/>
    <w:rsid w:val="003908F8"/>
    <w:rsid w:val="00390C0B"/>
    <w:rsid w:val="0039283A"/>
    <w:rsid w:val="00393531"/>
    <w:rsid w:val="003A0CA8"/>
    <w:rsid w:val="003A37B1"/>
    <w:rsid w:val="003A4E6A"/>
    <w:rsid w:val="003A5B99"/>
    <w:rsid w:val="003B0057"/>
    <w:rsid w:val="003B5504"/>
    <w:rsid w:val="003C2E9E"/>
    <w:rsid w:val="003C426D"/>
    <w:rsid w:val="003C5F3C"/>
    <w:rsid w:val="003C61A8"/>
    <w:rsid w:val="003D2D7D"/>
    <w:rsid w:val="003D7142"/>
    <w:rsid w:val="003E046E"/>
    <w:rsid w:val="003E3DEF"/>
    <w:rsid w:val="003E60F7"/>
    <w:rsid w:val="003F493C"/>
    <w:rsid w:val="003F776E"/>
    <w:rsid w:val="00401FF2"/>
    <w:rsid w:val="0040427D"/>
    <w:rsid w:val="00404ABD"/>
    <w:rsid w:val="0040541F"/>
    <w:rsid w:val="00413628"/>
    <w:rsid w:val="00417545"/>
    <w:rsid w:val="0042205C"/>
    <w:rsid w:val="00422F40"/>
    <w:rsid w:val="00424C59"/>
    <w:rsid w:val="0043492E"/>
    <w:rsid w:val="0043541E"/>
    <w:rsid w:val="00436BBE"/>
    <w:rsid w:val="004374F2"/>
    <w:rsid w:val="00440191"/>
    <w:rsid w:val="00440D1B"/>
    <w:rsid w:val="004415D2"/>
    <w:rsid w:val="004439CD"/>
    <w:rsid w:val="00444E08"/>
    <w:rsid w:val="00444E3C"/>
    <w:rsid w:val="00445009"/>
    <w:rsid w:val="004467EC"/>
    <w:rsid w:val="00451650"/>
    <w:rsid w:val="0045266E"/>
    <w:rsid w:val="0045363E"/>
    <w:rsid w:val="004545F5"/>
    <w:rsid w:val="004547B3"/>
    <w:rsid w:val="00463439"/>
    <w:rsid w:val="00465DCE"/>
    <w:rsid w:val="00467500"/>
    <w:rsid w:val="0047199D"/>
    <w:rsid w:val="00474120"/>
    <w:rsid w:val="00475A66"/>
    <w:rsid w:val="00477BDD"/>
    <w:rsid w:val="0048381F"/>
    <w:rsid w:val="00484621"/>
    <w:rsid w:val="00486883"/>
    <w:rsid w:val="004956F3"/>
    <w:rsid w:val="004959F3"/>
    <w:rsid w:val="004A2C92"/>
    <w:rsid w:val="004A648B"/>
    <w:rsid w:val="004B0111"/>
    <w:rsid w:val="004B1841"/>
    <w:rsid w:val="004B2D32"/>
    <w:rsid w:val="004B49D2"/>
    <w:rsid w:val="004B4F98"/>
    <w:rsid w:val="004C17F2"/>
    <w:rsid w:val="004C2657"/>
    <w:rsid w:val="004C33C4"/>
    <w:rsid w:val="004D27C5"/>
    <w:rsid w:val="004D2D27"/>
    <w:rsid w:val="004D4906"/>
    <w:rsid w:val="004E7163"/>
    <w:rsid w:val="004E7496"/>
    <w:rsid w:val="004F11EB"/>
    <w:rsid w:val="004F145C"/>
    <w:rsid w:val="00500840"/>
    <w:rsid w:val="00506E89"/>
    <w:rsid w:val="00511169"/>
    <w:rsid w:val="00512C90"/>
    <w:rsid w:val="0051404C"/>
    <w:rsid w:val="00514E9F"/>
    <w:rsid w:val="005163C4"/>
    <w:rsid w:val="0051661E"/>
    <w:rsid w:val="00517FAC"/>
    <w:rsid w:val="00521E14"/>
    <w:rsid w:val="005254B6"/>
    <w:rsid w:val="005318D6"/>
    <w:rsid w:val="00535002"/>
    <w:rsid w:val="005352F3"/>
    <w:rsid w:val="00540642"/>
    <w:rsid w:val="00544B04"/>
    <w:rsid w:val="005476F5"/>
    <w:rsid w:val="0055382C"/>
    <w:rsid w:val="00564130"/>
    <w:rsid w:val="005646B4"/>
    <w:rsid w:val="005661CF"/>
    <w:rsid w:val="00571E42"/>
    <w:rsid w:val="00575A61"/>
    <w:rsid w:val="0058212D"/>
    <w:rsid w:val="00582A83"/>
    <w:rsid w:val="00583B1F"/>
    <w:rsid w:val="00585947"/>
    <w:rsid w:val="005860B4"/>
    <w:rsid w:val="005867B9"/>
    <w:rsid w:val="00586C76"/>
    <w:rsid w:val="005964FD"/>
    <w:rsid w:val="005A514A"/>
    <w:rsid w:val="005B11D8"/>
    <w:rsid w:val="005B3474"/>
    <w:rsid w:val="005C7523"/>
    <w:rsid w:val="005D0A90"/>
    <w:rsid w:val="005D21AF"/>
    <w:rsid w:val="005D21C8"/>
    <w:rsid w:val="005D4215"/>
    <w:rsid w:val="005D7402"/>
    <w:rsid w:val="005E29AE"/>
    <w:rsid w:val="005E3D90"/>
    <w:rsid w:val="005F051D"/>
    <w:rsid w:val="005F0752"/>
    <w:rsid w:val="005F14CD"/>
    <w:rsid w:val="005F3518"/>
    <w:rsid w:val="0061371F"/>
    <w:rsid w:val="00614943"/>
    <w:rsid w:val="00623868"/>
    <w:rsid w:val="00625450"/>
    <w:rsid w:val="0063401B"/>
    <w:rsid w:val="00640108"/>
    <w:rsid w:val="00640181"/>
    <w:rsid w:val="006450BE"/>
    <w:rsid w:val="00646CA8"/>
    <w:rsid w:val="00650E0D"/>
    <w:rsid w:val="00651C0C"/>
    <w:rsid w:val="00654CFB"/>
    <w:rsid w:val="0065634E"/>
    <w:rsid w:val="00657213"/>
    <w:rsid w:val="006641C7"/>
    <w:rsid w:val="00667DC5"/>
    <w:rsid w:val="00676842"/>
    <w:rsid w:val="00680B4A"/>
    <w:rsid w:val="00681A37"/>
    <w:rsid w:val="00696971"/>
    <w:rsid w:val="006A2281"/>
    <w:rsid w:val="006A3369"/>
    <w:rsid w:val="006A6967"/>
    <w:rsid w:val="006A750F"/>
    <w:rsid w:val="006A7A86"/>
    <w:rsid w:val="006B3445"/>
    <w:rsid w:val="006B5B06"/>
    <w:rsid w:val="006C10BC"/>
    <w:rsid w:val="006C75A0"/>
    <w:rsid w:val="006D2CED"/>
    <w:rsid w:val="006D375D"/>
    <w:rsid w:val="006E2385"/>
    <w:rsid w:val="006E2EEC"/>
    <w:rsid w:val="006E3E13"/>
    <w:rsid w:val="006E3F98"/>
    <w:rsid w:val="006E4A1A"/>
    <w:rsid w:val="006E4D6F"/>
    <w:rsid w:val="006E79F1"/>
    <w:rsid w:val="006F135F"/>
    <w:rsid w:val="006F1468"/>
    <w:rsid w:val="006F24EA"/>
    <w:rsid w:val="006F43F5"/>
    <w:rsid w:val="00700031"/>
    <w:rsid w:val="007010F3"/>
    <w:rsid w:val="007052C4"/>
    <w:rsid w:val="00712276"/>
    <w:rsid w:val="0072088A"/>
    <w:rsid w:val="0072160B"/>
    <w:rsid w:val="007216D6"/>
    <w:rsid w:val="00725648"/>
    <w:rsid w:val="0073319D"/>
    <w:rsid w:val="0074234C"/>
    <w:rsid w:val="007505B9"/>
    <w:rsid w:val="00755A38"/>
    <w:rsid w:val="007563D7"/>
    <w:rsid w:val="007734A2"/>
    <w:rsid w:val="0077472E"/>
    <w:rsid w:val="007766CC"/>
    <w:rsid w:val="0078010F"/>
    <w:rsid w:val="00786476"/>
    <w:rsid w:val="007903CA"/>
    <w:rsid w:val="00790953"/>
    <w:rsid w:val="00792D08"/>
    <w:rsid w:val="00792D3A"/>
    <w:rsid w:val="007A158D"/>
    <w:rsid w:val="007A2BDA"/>
    <w:rsid w:val="007A5427"/>
    <w:rsid w:val="007A7718"/>
    <w:rsid w:val="007B3084"/>
    <w:rsid w:val="007B55C4"/>
    <w:rsid w:val="007B706E"/>
    <w:rsid w:val="007B7990"/>
    <w:rsid w:val="007C0E9B"/>
    <w:rsid w:val="007C2122"/>
    <w:rsid w:val="007C2712"/>
    <w:rsid w:val="007C781B"/>
    <w:rsid w:val="007D73D1"/>
    <w:rsid w:val="007F25FF"/>
    <w:rsid w:val="007F7792"/>
    <w:rsid w:val="008032F9"/>
    <w:rsid w:val="00803C65"/>
    <w:rsid w:val="00807EB6"/>
    <w:rsid w:val="00821E3F"/>
    <w:rsid w:val="00822295"/>
    <w:rsid w:val="00823743"/>
    <w:rsid w:val="00825916"/>
    <w:rsid w:val="00826DB7"/>
    <w:rsid w:val="00831141"/>
    <w:rsid w:val="00832FCE"/>
    <w:rsid w:val="00833617"/>
    <w:rsid w:val="00835817"/>
    <w:rsid w:val="00835D04"/>
    <w:rsid w:val="008420C5"/>
    <w:rsid w:val="008427A8"/>
    <w:rsid w:val="008535AF"/>
    <w:rsid w:val="00854780"/>
    <w:rsid w:val="0085490B"/>
    <w:rsid w:val="00860293"/>
    <w:rsid w:val="00865AAD"/>
    <w:rsid w:val="00870291"/>
    <w:rsid w:val="00870C11"/>
    <w:rsid w:val="00872F01"/>
    <w:rsid w:val="008814D4"/>
    <w:rsid w:val="0088198F"/>
    <w:rsid w:val="008826B3"/>
    <w:rsid w:val="008854C3"/>
    <w:rsid w:val="008872CA"/>
    <w:rsid w:val="008878E6"/>
    <w:rsid w:val="0089156C"/>
    <w:rsid w:val="0089219A"/>
    <w:rsid w:val="00896D68"/>
    <w:rsid w:val="008974A1"/>
    <w:rsid w:val="008A49E9"/>
    <w:rsid w:val="008A555F"/>
    <w:rsid w:val="008B1BD6"/>
    <w:rsid w:val="008B3064"/>
    <w:rsid w:val="008B7FC5"/>
    <w:rsid w:val="008B7FEF"/>
    <w:rsid w:val="008C0E36"/>
    <w:rsid w:val="008C7625"/>
    <w:rsid w:val="008C78AA"/>
    <w:rsid w:val="008D030C"/>
    <w:rsid w:val="008E64C0"/>
    <w:rsid w:val="008E7025"/>
    <w:rsid w:val="008F5E1C"/>
    <w:rsid w:val="008F6D63"/>
    <w:rsid w:val="00901D39"/>
    <w:rsid w:val="00902157"/>
    <w:rsid w:val="00906331"/>
    <w:rsid w:val="00915F21"/>
    <w:rsid w:val="00916081"/>
    <w:rsid w:val="009160B2"/>
    <w:rsid w:val="00916E38"/>
    <w:rsid w:val="009233AC"/>
    <w:rsid w:val="00923BE6"/>
    <w:rsid w:val="00933226"/>
    <w:rsid w:val="00936F1C"/>
    <w:rsid w:val="00943326"/>
    <w:rsid w:val="0094415B"/>
    <w:rsid w:val="00951A35"/>
    <w:rsid w:val="009554E1"/>
    <w:rsid w:val="00955FAC"/>
    <w:rsid w:val="00960157"/>
    <w:rsid w:val="0096219E"/>
    <w:rsid w:val="0096397C"/>
    <w:rsid w:val="00963F27"/>
    <w:rsid w:val="00964299"/>
    <w:rsid w:val="009664BF"/>
    <w:rsid w:val="00976D13"/>
    <w:rsid w:val="00984B3A"/>
    <w:rsid w:val="009857FC"/>
    <w:rsid w:val="00986E52"/>
    <w:rsid w:val="00990B3C"/>
    <w:rsid w:val="009934C0"/>
    <w:rsid w:val="009A18E8"/>
    <w:rsid w:val="009A53DE"/>
    <w:rsid w:val="009A5F80"/>
    <w:rsid w:val="009A6933"/>
    <w:rsid w:val="009A71D8"/>
    <w:rsid w:val="009B4DB0"/>
    <w:rsid w:val="009B69E4"/>
    <w:rsid w:val="009B7F02"/>
    <w:rsid w:val="009C7D87"/>
    <w:rsid w:val="009D156F"/>
    <w:rsid w:val="009D22EC"/>
    <w:rsid w:val="009D3593"/>
    <w:rsid w:val="009D589A"/>
    <w:rsid w:val="009D5F05"/>
    <w:rsid w:val="009E127A"/>
    <w:rsid w:val="009F51E9"/>
    <w:rsid w:val="009F7C96"/>
    <w:rsid w:val="00A008B9"/>
    <w:rsid w:val="00A02759"/>
    <w:rsid w:val="00A02C27"/>
    <w:rsid w:val="00A05430"/>
    <w:rsid w:val="00A05469"/>
    <w:rsid w:val="00A07BBC"/>
    <w:rsid w:val="00A1192D"/>
    <w:rsid w:val="00A13F8F"/>
    <w:rsid w:val="00A15369"/>
    <w:rsid w:val="00A17592"/>
    <w:rsid w:val="00A22411"/>
    <w:rsid w:val="00A230BA"/>
    <w:rsid w:val="00A2602C"/>
    <w:rsid w:val="00A267BA"/>
    <w:rsid w:val="00A36706"/>
    <w:rsid w:val="00A36F7A"/>
    <w:rsid w:val="00A412EE"/>
    <w:rsid w:val="00A53036"/>
    <w:rsid w:val="00A54A40"/>
    <w:rsid w:val="00A552EB"/>
    <w:rsid w:val="00A626D3"/>
    <w:rsid w:val="00A6305D"/>
    <w:rsid w:val="00A66B5A"/>
    <w:rsid w:val="00A70ABA"/>
    <w:rsid w:val="00A72B61"/>
    <w:rsid w:val="00A73AB3"/>
    <w:rsid w:val="00A85D87"/>
    <w:rsid w:val="00A8759B"/>
    <w:rsid w:val="00A90F75"/>
    <w:rsid w:val="00A9298B"/>
    <w:rsid w:val="00A93D0F"/>
    <w:rsid w:val="00A93FB6"/>
    <w:rsid w:val="00A952A1"/>
    <w:rsid w:val="00A96257"/>
    <w:rsid w:val="00AA0F2C"/>
    <w:rsid w:val="00AA36BB"/>
    <w:rsid w:val="00AA5D2F"/>
    <w:rsid w:val="00AA5F10"/>
    <w:rsid w:val="00AB1D29"/>
    <w:rsid w:val="00AB1E77"/>
    <w:rsid w:val="00AB47B0"/>
    <w:rsid w:val="00AB7AF5"/>
    <w:rsid w:val="00AC25FF"/>
    <w:rsid w:val="00AC5D0B"/>
    <w:rsid w:val="00AD241D"/>
    <w:rsid w:val="00AE4A8C"/>
    <w:rsid w:val="00AE72BD"/>
    <w:rsid w:val="00AF5053"/>
    <w:rsid w:val="00AF5F7F"/>
    <w:rsid w:val="00AF7F75"/>
    <w:rsid w:val="00B0087F"/>
    <w:rsid w:val="00B06172"/>
    <w:rsid w:val="00B0692B"/>
    <w:rsid w:val="00B07183"/>
    <w:rsid w:val="00B118A2"/>
    <w:rsid w:val="00B15769"/>
    <w:rsid w:val="00B15AC6"/>
    <w:rsid w:val="00B16AD5"/>
    <w:rsid w:val="00B30CF4"/>
    <w:rsid w:val="00B324A6"/>
    <w:rsid w:val="00B352DE"/>
    <w:rsid w:val="00B36E77"/>
    <w:rsid w:val="00B41321"/>
    <w:rsid w:val="00B41353"/>
    <w:rsid w:val="00B42568"/>
    <w:rsid w:val="00B4449A"/>
    <w:rsid w:val="00B5251D"/>
    <w:rsid w:val="00B56388"/>
    <w:rsid w:val="00B56ABE"/>
    <w:rsid w:val="00B56ED4"/>
    <w:rsid w:val="00B57E06"/>
    <w:rsid w:val="00B60C45"/>
    <w:rsid w:val="00B61304"/>
    <w:rsid w:val="00B64727"/>
    <w:rsid w:val="00B72538"/>
    <w:rsid w:val="00B73954"/>
    <w:rsid w:val="00B7798D"/>
    <w:rsid w:val="00B77C78"/>
    <w:rsid w:val="00B8370A"/>
    <w:rsid w:val="00B873CA"/>
    <w:rsid w:val="00B87E52"/>
    <w:rsid w:val="00B91768"/>
    <w:rsid w:val="00B96046"/>
    <w:rsid w:val="00BA14A5"/>
    <w:rsid w:val="00BA6A52"/>
    <w:rsid w:val="00BA6CE5"/>
    <w:rsid w:val="00BB556E"/>
    <w:rsid w:val="00BC179A"/>
    <w:rsid w:val="00BC209B"/>
    <w:rsid w:val="00BC2B53"/>
    <w:rsid w:val="00BC508E"/>
    <w:rsid w:val="00BC5915"/>
    <w:rsid w:val="00BC7037"/>
    <w:rsid w:val="00BD197D"/>
    <w:rsid w:val="00BE18F9"/>
    <w:rsid w:val="00BE400D"/>
    <w:rsid w:val="00BF0D4C"/>
    <w:rsid w:val="00C05AF0"/>
    <w:rsid w:val="00C06510"/>
    <w:rsid w:val="00C101B2"/>
    <w:rsid w:val="00C13028"/>
    <w:rsid w:val="00C139E3"/>
    <w:rsid w:val="00C13EB1"/>
    <w:rsid w:val="00C2264B"/>
    <w:rsid w:val="00C243C6"/>
    <w:rsid w:val="00C27A23"/>
    <w:rsid w:val="00C37797"/>
    <w:rsid w:val="00C45537"/>
    <w:rsid w:val="00C512B2"/>
    <w:rsid w:val="00C57D1A"/>
    <w:rsid w:val="00C60A4E"/>
    <w:rsid w:val="00C61FC7"/>
    <w:rsid w:val="00C62989"/>
    <w:rsid w:val="00C65FA6"/>
    <w:rsid w:val="00C669AE"/>
    <w:rsid w:val="00C75133"/>
    <w:rsid w:val="00C76B74"/>
    <w:rsid w:val="00C772E7"/>
    <w:rsid w:val="00C77A13"/>
    <w:rsid w:val="00C81C5D"/>
    <w:rsid w:val="00C919AC"/>
    <w:rsid w:val="00C95998"/>
    <w:rsid w:val="00C96421"/>
    <w:rsid w:val="00C97A4C"/>
    <w:rsid w:val="00CA3B85"/>
    <w:rsid w:val="00CA705D"/>
    <w:rsid w:val="00CB090A"/>
    <w:rsid w:val="00CB0A0B"/>
    <w:rsid w:val="00CB7643"/>
    <w:rsid w:val="00CB7DA8"/>
    <w:rsid w:val="00CC714F"/>
    <w:rsid w:val="00CD6D31"/>
    <w:rsid w:val="00CE2325"/>
    <w:rsid w:val="00CE4F94"/>
    <w:rsid w:val="00CF1686"/>
    <w:rsid w:val="00CF3D92"/>
    <w:rsid w:val="00CF4776"/>
    <w:rsid w:val="00CF49A8"/>
    <w:rsid w:val="00CF6305"/>
    <w:rsid w:val="00CF6311"/>
    <w:rsid w:val="00CF7448"/>
    <w:rsid w:val="00CF7C75"/>
    <w:rsid w:val="00CF7FCB"/>
    <w:rsid w:val="00D007BC"/>
    <w:rsid w:val="00D01D58"/>
    <w:rsid w:val="00D043D4"/>
    <w:rsid w:val="00D050F8"/>
    <w:rsid w:val="00D106A0"/>
    <w:rsid w:val="00D10B9F"/>
    <w:rsid w:val="00D1591E"/>
    <w:rsid w:val="00D2566F"/>
    <w:rsid w:val="00D26753"/>
    <w:rsid w:val="00D3294E"/>
    <w:rsid w:val="00D456E8"/>
    <w:rsid w:val="00D4608D"/>
    <w:rsid w:val="00D469AD"/>
    <w:rsid w:val="00D47C0E"/>
    <w:rsid w:val="00D54A59"/>
    <w:rsid w:val="00D63404"/>
    <w:rsid w:val="00D66B11"/>
    <w:rsid w:val="00D675DC"/>
    <w:rsid w:val="00D75C16"/>
    <w:rsid w:val="00D832C6"/>
    <w:rsid w:val="00D86F27"/>
    <w:rsid w:val="00D872F3"/>
    <w:rsid w:val="00D879B1"/>
    <w:rsid w:val="00D90EB2"/>
    <w:rsid w:val="00D919CD"/>
    <w:rsid w:val="00D9516B"/>
    <w:rsid w:val="00DA0757"/>
    <w:rsid w:val="00DA0C2C"/>
    <w:rsid w:val="00DA1CFA"/>
    <w:rsid w:val="00DA4007"/>
    <w:rsid w:val="00DB1225"/>
    <w:rsid w:val="00DB5B7B"/>
    <w:rsid w:val="00DC574A"/>
    <w:rsid w:val="00DD2D3E"/>
    <w:rsid w:val="00DD6F21"/>
    <w:rsid w:val="00DD7EAC"/>
    <w:rsid w:val="00DE5B44"/>
    <w:rsid w:val="00DF4736"/>
    <w:rsid w:val="00DF6507"/>
    <w:rsid w:val="00DF6C24"/>
    <w:rsid w:val="00DF6C60"/>
    <w:rsid w:val="00E000F7"/>
    <w:rsid w:val="00E01D37"/>
    <w:rsid w:val="00E026E0"/>
    <w:rsid w:val="00E03331"/>
    <w:rsid w:val="00E22129"/>
    <w:rsid w:val="00E26120"/>
    <w:rsid w:val="00E34458"/>
    <w:rsid w:val="00E44540"/>
    <w:rsid w:val="00E44607"/>
    <w:rsid w:val="00E44939"/>
    <w:rsid w:val="00E46AF3"/>
    <w:rsid w:val="00E46F78"/>
    <w:rsid w:val="00E478D0"/>
    <w:rsid w:val="00E53063"/>
    <w:rsid w:val="00E55C72"/>
    <w:rsid w:val="00E61E65"/>
    <w:rsid w:val="00E64A21"/>
    <w:rsid w:val="00E67087"/>
    <w:rsid w:val="00E67B21"/>
    <w:rsid w:val="00E67FBC"/>
    <w:rsid w:val="00E703FE"/>
    <w:rsid w:val="00E73A0D"/>
    <w:rsid w:val="00E81797"/>
    <w:rsid w:val="00E82D6C"/>
    <w:rsid w:val="00E83945"/>
    <w:rsid w:val="00E83EFD"/>
    <w:rsid w:val="00E84222"/>
    <w:rsid w:val="00E925DB"/>
    <w:rsid w:val="00E9694E"/>
    <w:rsid w:val="00EA023C"/>
    <w:rsid w:val="00EA0C56"/>
    <w:rsid w:val="00EA18A9"/>
    <w:rsid w:val="00EA19E7"/>
    <w:rsid w:val="00EA5EBA"/>
    <w:rsid w:val="00EA7200"/>
    <w:rsid w:val="00EB22AC"/>
    <w:rsid w:val="00EB3084"/>
    <w:rsid w:val="00EC4C04"/>
    <w:rsid w:val="00ED097B"/>
    <w:rsid w:val="00ED1F55"/>
    <w:rsid w:val="00ED35B8"/>
    <w:rsid w:val="00ED3B3F"/>
    <w:rsid w:val="00ED69ED"/>
    <w:rsid w:val="00EE1857"/>
    <w:rsid w:val="00EF07B7"/>
    <w:rsid w:val="00EF2A4A"/>
    <w:rsid w:val="00EF3A66"/>
    <w:rsid w:val="00EF5F9E"/>
    <w:rsid w:val="00F00D0A"/>
    <w:rsid w:val="00F03D20"/>
    <w:rsid w:val="00F0407E"/>
    <w:rsid w:val="00F04282"/>
    <w:rsid w:val="00F1711E"/>
    <w:rsid w:val="00F22223"/>
    <w:rsid w:val="00F23953"/>
    <w:rsid w:val="00F31276"/>
    <w:rsid w:val="00F32B6B"/>
    <w:rsid w:val="00F33206"/>
    <w:rsid w:val="00F4139D"/>
    <w:rsid w:val="00F4690D"/>
    <w:rsid w:val="00F57700"/>
    <w:rsid w:val="00F63C33"/>
    <w:rsid w:val="00F66110"/>
    <w:rsid w:val="00F722DA"/>
    <w:rsid w:val="00F773D0"/>
    <w:rsid w:val="00F774AF"/>
    <w:rsid w:val="00F82727"/>
    <w:rsid w:val="00F855F4"/>
    <w:rsid w:val="00F933E3"/>
    <w:rsid w:val="00F94CD5"/>
    <w:rsid w:val="00F97B6C"/>
    <w:rsid w:val="00FA0246"/>
    <w:rsid w:val="00FA7CA9"/>
    <w:rsid w:val="00FB1BBE"/>
    <w:rsid w:val="00FB1D24"/>
    <w:rsid w:val="00FB3738"/>
    <w:rsid w:val="00FB41F7"/>
    <w:rsid w:val="00FB4711"/>
    <w:rsid w:val="00FB4C48"/>
    <w:rsid w:val="00FC0F7F"/>
    <w:rsid w:val="00FC1FE0"/>
    <w:rsid w:val="00FC7A8D"/>
    <w:rsid w:val="00FD1314"/>
    <w:rsid w:val="00FD1CC5"/>
    <w:rsid w:val="00FD402A"/>
    <w:rsid w:val="00FD749B"/>
    <w:rsid w:val="00FE0EB0"/>
    <w:rsid w:val="00FE2E26"/>
    <w:rsid w:val="00FE34F3"/>
    <w:rsid w:val="00FE79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76313"/>
  <w15:chartTrackingRefBased/>
  <w15:docId w15:val="{0EA9EE61-41AC-49CD-B9E0-1E37796C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6971"/>
    <w:pPr>
      <w:spacing w:after="0" w:line="240" w:lineRule="auto"/>
      <w:jc w:val="both"/>
    </w:pPr>
    <w:rPr>
      <w:rFonts w:ascii="Calibri" w:hAnsi="Calibri"/>
      <w:lang w:val="en-US"/>
    </w:rPr>
  </w:style>
  <w:style w:type="paragraph" w:styleId="Kop1">
    <w:name w:val="heading 1"/>
    <w:basedOn w:val="Standaard"/>
    <w:next w:val="Standaard"/>
    <w:link w:val="Kop1Char"/>
    <w:uiPriority w:val="9"/>
    <w:qFormat/>
    <w:rsid w:val="00D050F8"/>
    <w:pPr>
      <w:keepNext/>
      <w:keepLines/>
      <w:pBdr>
        <w:top w:val="single" w:sz="4" w:space="1" w:color="auto"/>
        <w:left w:val="single" w:sz="4" w:space="4" w:color="auto"/>
        <w:bottom w:val="single" w:sz="4" w:space="1" w:color="auto"/>
        <w:right w:val="single" w:sz="4" w:space="4" w:color="auto"/>
      </w:pBdr>
      <w:spacing w:before="120" w:after="12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C13EB1"/>
    <w:pPr>
      <w:keepNext/>
      <w:keepLines/>
      <w:spacing w:before="60"/>
      <w:outlineLvl w:val="1"/>
    </w:pPr>
    <w:rPr>
      <w:rFonts w:eastAsiaTheme="majorEastAsia" w:cstheme="majorBidi"/>
      <w:b/>
      <w:szCs w:val="26"/>
      <w:u w:val="single"/>
    </w:rPr>
  </w:style>
  <w:style w:type="paragraph" w:styleId="Kop3">
    <w:name w:val="heading 3"/>
    <w:basedOn w:val="Standaard"/>
    <w:next w:val="Standaard"/>
    <w:link w:val="Kop3Char"/>
    <w:uiPriority w:val="9"/>
    <w:unhideWhenUsed/>
    <w:qFormat/>
    <w:rsid w:val="00C13EB1"/>
    <w:pPr>
      <w:keepNext/>
      <w:keepLines/>
      <w:spacing w:before="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2C3888"/>
    <w:pPr>
      <w:keepNext/>
      <w:keepLines/>
      <w:outlineLvl w:val="3"/>
    </w:pPr>
    <w:rPr>
      <w:rFonts w:eastAsiaTheme="majorEastAsia" w:cstheme="majorBidi"/>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50F8"/>
    <w:rPr>
      <w:rFonts w:ascii="Calibri" w:eastAsiaTheme="majorEastAsia" w:hAnsi="Calibri" w:cstheme="majorBidi"/>
      <w:b/>
      <w:szCs w:val="32"/>
      <w:lang w:val="en-US"/>
    </w:rPr>
  </w:style>
  <w:style w:type="character" w:customStyle="1" w:styleId="Kop2Char">
    <w:name w:val="Kop 2 Char"/>
    <w:basedOn w:val="Standaardalinea-lettertype"/>
    <w:link w:val="Kop2"/>
    <w:uiPriority w:val="9"/>
    <w:rsid w:val="00C13EB1"/>
    <w:rPr>
      <w:rFonts w:ascii="Calibri" w:eastAsiaTheme="majorEastAsia" w:hAnsi="Calibri" w:cstheme="majorBidi"/>
      <w:b/>
      <w:szCs w:val="26"/>
      <w:u w:val="single"/>
    </w:rPr>
  </w:style>
  <w:style w:type="character" w:customStyle="1" w:styleId="Kop3Char">
    <w:name w:val="Kop 3 Char"/>
    <w:basedOn w:val="Standaardalinea-lettertype"/>
    <w:link w:val="Kop3"/>
    <w:uiPriority w:val="9"/>
    <w:rsid w:val="00C13EB1"/>
    <w:rPr>
      <w:rFonts w:ascii="Calibri" w:eastAsiaTheme="majorEastAsia" w:hAnsi="Calibri" w:cstheme="majorBidi"/>
      <w:b/>
      <w:szCs w:val="24"/>
    </w:rPr>
  </w:style>
  <w:style w:type="paragraph" w:styleId="Titel">
    <w:name w:val="Title"/>
    <w:basedOn w:val="Standaard"/>
    <w:next w:val="Standaard"/>
    <w:link w:val="TitelChar"/>
    <w:uiPriority w:val="10"/>
    <w:qFormat/>
    <w:rsid w:val="00B42568"/>
    <w:pPr>
      <w:contextualSpacing/>
    </w:pPr>
    <w:rPr>
      <w:rFonts w:eastAsiaTheme="majorEastAsia" w:cstheme="majorBidi"/>
      <w:b/>
      <w:spacing w:val="-10"/>
      <w:kern w:val="28"/>
      <w:sz w:val="28"/>
      <w:szCs w:val="56"/>
    </w:rPr>
  </w:style>
  <w:style w:type="character" w:customStyle="1" w:styleId="TitelChar">
    <w:name w:val="Titel Char"/>
    <w:basedOn w:val="Standaardalinea-lettertype"/>
    <w:link w:val="Titel"/>
    <w:uiPriority w:val="10"/>
    <w:rsid w:val="00B42568"/>
    <w:rPr>
      <w:rFonts w:ascii="Calibri" w:eastAsiaTheme="majorEastAsia" w:hAnsi="Calibri" w:cstheme="majorBidi"/>
      <w:b/>
      <w:spacing w:val="-10"/>
      <w:kern w:val="28"/>
      <w:sz w:val="28"/>
      <w:szCs w:val="56"/>
      <w:lang w:val="en-US"/>
    </w:rPr>
  </w:style>
  <w:style w:type="paragraph" w:styleId="Ondertitel">
    <w:name w:val="Subtitle"/>
    <w:basedOn w:val="Standaard"/>
    <w:next w:val="Standaard"/>
    <w:link w:val="OndertitelChar"/>
    <w:uiPriority w:val="11"/>
    <w:qFormat/>
    <w:rsid w:val="00E22129"/>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22129"/>
    <w:rPr>
      <w:rFonts w:eastAsiaTheme="minorEastAsia"/>
      <w:color w:val="5A5A5A" w:themeColor="text1" w:themeTint="A5"/>
      <w:spacing w:val="15"/>
    </w:rPr>
  </w:style>
  <w:style w:type="paragraph" w:styleId="Lijstalinea">
    <w:name w:val="List Paragraph"/>
    <w:basedOn w:val="Standaard"/>
    <w:uiPriority w:val="34"/>
    <w:qFormat/>
    <w:rsid w:val="00E22129"/>
    <w:pPr>
      <w:ind w:left="720"/>
      <w:contextualSpacing/>
    </w:pPr>
  </w:style>
  <w:style w:type="table" w:styleId="Tabelraster">
    <w:name w:val="Table Grid"/>
    <w:basedOn w:val="Standaardtabel"/>
    <w:uiPriority w:val="39"/>
    <w:rsid w:val="002C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2C3888"/>
    <w:rPr>
      <w:rFonts w:ascii="Calibri" w:eastAsiaTheme="majorEastAsia" w:hAnsi="Calibri" w:cstheme="majorBidi"/>
      <w:i/>
      <w:iCs/>
      <w:u w:val="single"/>
    </w:rPr>
  </w:style>
  <w:style w:type="paragraph" w:styleId="Koptekst">
    <w:name w:val="header"/>
    <w:basedOn w:val="Standaard"/>
    <w:link w:val="KoptekstChar"/>
    <w:uiPriority w:val="99"/>
    <w:unhideWhenUsed/>
    <w:rsid w:val="00C13EB1"/>
    <w:pPr>
      <w:tabs>
        <w:tab w:val="center" w:pos="4536"/>
        <w:tab w:val="right" w:pos="9072"/>
      </w:tabs>
    </w:pPr>
  </w:style>
  <w:style w:type="character" w:customStyle="1" w:styleId="KoptekstChar">
    <w:name w:val="Koptekst Char"/>
    <w:basedOn w:val="Standaardalinea-lettertype"/>
    <w:link w:val="Koptekst"/>
    <w:uiPriority w:val="99"/>
    <w:rsid w:val="00C13EB1"/>
  </w:style>
  <w:style w:type="paragraph" w:styleId="Voettekst">
    <w:name w:val="footer"/>
    <w:basedOn w:val="Standaard"/>
    <w:link w:val="VoettekstChar"/>
    <w:uiPriority w:val="99"/>
    <w:unhideWhenUsed/>
    <w:rsid w:val="00C13EB1"/>
    <w:pPr>
      <w:tabs>
        <w:tab w:val="center" w:pos="4536"/>
        <w:tab w:val="right" w:pos="9072"/>
      </w:tabs>
    </w:pPr>
  </w:style>
  <w:style w:type="character" w:customStyle="1" w:styleId="VoettekstChar">
    <w:name w:val="Voettekst Char"/>
    <w:basedOn w:val="Standaardalinea-lettertype"/>
    <w:link w:val="Voettekst"/>
    <w:uiPriority w:val="99"/>
    <w:rsid w:val="00C13EB1"/>
  </w:style>
  <w:style w:type="character" w:styleId="Hyperlink">
    <w:name w:val="Hyperlink"/>
    <w:basedOn w:val="Standaardalinea-lettertype"/>
    <w:uiPriority w:val="99"/>
    <w:unhideWhenUsed/>
    <w:rsid w:val="008420C5"/>
    <w:rPr>
      <w:color w:val="0563C1" w:themeColor="hyperlink"/>
      <w:u w:val="single"/>
    </w:rPr>
  </w:style>
  <w:style w:type="paragraph" w:customStyle="1" w:styleId="Bullet1">
    <w:name w:val="Bullet 1"/>
    <w:basedOn w:val="Standaard"/>
    <w:qFormat/>
    <w:rsid w:val="006E4D6F"/>
    <w:pPr>
      <w:numPr>
        <w:numId w:val="4"/>
      </w:numPr>
      <w:ind w:left="357" w:hanging="357"/>
    </w:pPr>
  </w:style>
  <w:style w:type="paragraph" w:customStyle="1" w:styleId="Bullet2">
    <w:name w:val="Bullet 2"/>
    <w:basedOn w:val="Standaard"/>
    <w:qFormat/>
    <w:rsid w:val="006E4D6F"/>
    <w:pPr>
      <w:numPr>
        <w:numId w:val="5"/>
      </w:numPr>
    </w:pPr>
  </w:style>
  <w:style w:type="paragraph" w:styleId="Kopvaninhoudsopgave">
    <w:name w:val="TOC Heading"/>
    <w:basedOn w:val="Kop1"/>
    <w:next w:val="Standaard"/>
    <w:uiPriority w:val="39"/>
    <w:unhideWhenUsed/>
    <w:qFormat/>
    <w:rsid w:val="0002073F"/>
    <w:pPr>
      <w:spacing w:before="240" w:after="0" w:line="259" w:lineRule="auto"/>
      <w:jc w:val="left"/>
      <w:outlineLvl w:val="9"/>
    </w:pPr>
    <w:rPr>
      <w:rFonts w:asciiTheme="majorHAnsi" w:hAnsiTheme="majorHAnsi"/>
      <w:b w:val="0"/>
      <w:color w:val="2F5496" w:themeColor="accent1" w:themeShade="BF"/>
      <w:sz w:val="32"/>
    </w:rPr>
  </w:style>
  <w:style w:type="paragraph" w:styleId="Inhopg1">
    <w:name w:val="toc 1"/>
    <w:basedOn w:val="Standaard"/>
    <w:next w:val="Standaard"/>
    <w:autoRedefine/>
    <w:uiPriority w:val="39"/>
    <w:unhideWhenUsed/>
    <w:rsid w:val="0002073F"/>
    <w:pPr>
      <w:spacing w:before="360"/>
      <w:jc w:val="left"/>
    </w:pPr>
    <w:rPr>
      <w:rFonts w:asciiTheme="majorHAnsi" w:hAnsiTheme="majorHAnsi"/>
      <w:b/>
      <w:bCs/>
      <w:caps/>
      <w:sz w:val="24"/>
      <w:szCs w:val="24"/>
    </w:rPr>
  </w:style>
  <w:style w:type="paragraph" w:styleId="Inhopg2">
    <w:name w:val="toc 2"/>
    <w:basedOn w:val="Standaard"/>
    <w:next w:val="Standaard"/>
    <w:autoRedefine/>
    <w:uiPriority w:val="39"/>
    <w:unhideWhenUsed/>
    <w:rsid w:val="00623868"/>
    <w:pPr>
      <w:spacing w:before="240"/>
      <w:jc w:val="left"/>
    </w:pPr>
    <w:rPr>
      <w:b/>
      <w:bCs/>
      <w:sz w:val="20"/>
      <w:szCs w:val="20"/>
    </w:rPr>
  </w:style>
  <w:style w:type="paragraph" w:styleId="Inhopg3">
    <w:name w:val="toc 3"/>
    <w:basedOn w:val="Standaard"/>
    <w:next w:val="Standaard"/>
    <w:autoRedefine/>
    <w:uiPriority w:val="39"/>
    <w:unhideWhenUsed/>
    <w:rsid w:val="0002073F"/>
    <w:pPr>
      <w:ind w:left="220"/>
      <w:jc w:val="left"/>
    </w:pPr>
    <w:rPr>
      <w:sz w:val="20"/>
      <w:szCs w:val="20"/>
    </w:rPr>
  </w:style>
  <w:style w:type="paragraph" w:styleId="Inhopg4">
    <w:name w:val="toc 4"/>
    <w:basedOn w:val="Standaard"/>
    <w:next w:val="Standaard"/>
    <w:autoRedefine/>
    <w:uiPriority w:val="39"/>
    <w:unhideWhenUsed/>
    <w:rsid w:val="0002073F"/>
    <w:pPr>
      <w:ind w:left="440"/>
      <w:jc w:val="left"/>
    </w:pPr>
    <w:rPr>
      <w:sz w:val="20"/>
      <w:szCs w:val="20"/>
    </w:rPr>
  </w:style>
  <w:style w:type="paragraph" w:styleId="Inhopg5">
    <w:name w:val="toc 5"/>
    <w:basedOn w:val="Standaard"/>
    <w:next w:val="Standaard"/>
    <w:autoRedefine/>
    <w:uiPriority w:val="39"/>
    <w:unhideWhenUsed/>
    <w:rsid w:val="0002073F"/>
    <w:pPr>
      <w:ind w:left="660"/>
      <w:jc w:val="left"/>
    </w:pPr>
    <w:rPr>
      <w:sz w:val="20"/>
      <w:szCs w:val="20"/>
    </w:rPr>
  </w:style>
  <w:style w:type="paragraph" w:styleId="Inhopg6">
    <w:name w:val="toc 6"/>
    <w:basedOn w:val="Standaard"/>
    <w:next w:val="Standaard"/>
    <w:autoRedefine/>
    <w:uiPriority w:val="39"/>
    <w:unhideWhenUsed/>
    <w:rsid w:val="0002073F"/>
    <w:pPr>
      <w:ind w:left="880"/>
      <w:jc w:val="left"/>
    </w:pPr>
    <w:rPr>
      <w:sz w:val="20"/>
      <w:szCs w:val="20"/>
    </w:rPr>
  </w:style>
  <w:style w:type="paragraph" w:styleId="Inhopg7">
    <w:name w:val="toc 7"/>
    <w:basedOn w:val="Standaard"/>
    <w:next w:val="Standaard"/>
    <w:autoRedefine/>
    <w:uiPriority w:val="39"/>
    <w:unhideWhenUsed/>
    <w:rsid w:val="0002073F"/>
    <w:pPr>
      <w:ind w:left="1100"/>
      <w:jc w:val="left"/>
    </w:pPr>
    <w:rPr>
      <w:sz w:val="20"/>
      <w:szCs w:val="20"/>
    </w:rPr>
  </w:style>
  <w:style w:type="paragraph" w:styleId="Inhopg8">
    <w:name w:val="toc 8"/>
    <w:basedOn w:val="Standaard"/>
    <w:next w:val="Standaard"/>
    <w:autoRedefine/>
    <w:uiPriority w:val="39"/>
    <w:unhideWhenUsed/>
    <w:rsid w:val="0002073F"/>
    <w:pPr>
      <w:ind w:left="1320"/>
      <w:jc w:val="left"/>
    </w:pPr>
    <w:rPr>
      <w:sz w:val="20"/>
      <w:szCs w:val="20"/>
    </w:rPr>
  </w:style>
  <w:style w:type="paragraph" w:styleId="Inhopg9">
    <w:name w:val="toc 9"/>
    <w:basedOn w:val="Standaard"/>
    <w:next w:val="Standaard"/>
    <w:autoRedefine/>
    <w:uiPriority w:val="39"/>
    <w:unhideWhenUsed/>
    <w:rsid w:val="0002073F"/>
    <w:pPr>
      <w:ind w:left="1540"/>
      <w:jc w:val="left"/>
    </w:pPr>
    <w:rPr>
      <w:sz w:val="20"/>
      <w:szCs w:val="20"/>
    </w:rPr>
  </w:style>
  <w:style w:type="paragraph" w:customStyle="1" w:styleId="Remark">
    <w:name w:val="Remark"/>
    <w:basedOn w:val="Standaard"/>
    <w:qFormat/>
    <w:rsid w:val="00F03D20"/>
    <w:rPr>
      <w:u w:val="single"/>
    </w:rPr>
  </w:style>
  <w:style w:type="paragraph" w:customStyle="1" w:styleId="Liste1">
    <w:name w:val="Liste1"/>
    <w:basedOn w:val="Standaard"/>
    <w:qFormat/>
    <w:rsid w:val="0045266E"/>
    <w:pPr>
      <w:ind w:left="357"/>
    </w:pPr>
  </w:style>
  <w:style w:type="character" w:styleId="Nadruk">
    <w:name w:val="Emphasis"/>
    <w:basedOn w:val="Standaardalinea-lettertype"/>
    <w:uiPriority w:val="20"/>
    <w:qFormat/>
    <w:rsid w:val="00B30CF4"/>
    <w:rPr>
      <w:i/>
      <w:iCs/>
    </w:rPr>
  </w:style>
  <w:style w:type="character" w:styleId="Intensievebenadrukking">
    <w:name w:val="Intense Emphasis"/>
    <w:basedOn w:val="Standaardalinea-lettertype"/>
    <w:uiPriority w:val="21"/>
    <w:qFormat/>
    <w:rsid w:val="00792D3A"/>
    <w:rPr>
      <w:i/>
      <w:iCs/>
      <w:color w:val="A6A6A6" w:themeColor="background1" w:themeShade="A6"/>
    </w:rPr>
  </w:style>
  <w:style w:type="paragraph" w:customStyle="1" w:styleId="Indent1">
    <w:name w:val="Indent1"/>
    <w:basedOn w:val="Standaard"/>
    <w:qFormat/>
    <w:rsid w:val="002B37B1"/>
    <w:pPr>
      <w:ind w:left="357"/>
    </w:pPr>
  </w:style>
  <w:style w:type="paragraph" w:styleId="Voetnoottekst">
    <w:name w:val="footnote text"/>
    <w:basedOn w:val="Standaard"/>
    <w:link w:val="VoetnoottekstChar"/>
    <w:uiPriority w:val="99"/>
    <w:semiHidden/>
    <w:unhideWhenUsed/>
    <w:rsid w:val="006F1468"/>
    <w:rPr>
      <w:sz w:val="20"/>
      <w:szCs w:val="20"/>
    </w:rPr>
  </w:style>
  <w:style w:type="character" w:customStyle="1" w:styleId="VoetnoottekstChar">
    <w:name w:val="Voetnoottekst Char"/>
    <w:basedOn w:val="Standaardalinea-lettertype"/>
    <w:link w:val="Voetnoottekst"/>
    <w:uiPriority w:val="99"/>
    <w:semiHidden/>
    <w:rsid w:val="006F1468"/>
    <w:rPr>
      <w:rFonts w:ascii="Calibri" w:hAnsi="Calibri"/>
      <w:sz w:val="20"/>
      <w:szCs w:val="20"/>
      <w:lang w:val="en-US"/>
    </w:rPr>
  </w:style>
  <w:style w:type="character" w:styleId="Voetnootmarkering">
    <w:name w:val="footnote reference"/>
    <w:basedOn w:val="Standaardalinea-lettertype"/>
    <w:uiPriority w:val="99"/>
    <w:semiHidden/>
    <w:unhideWhenUsed/>
    <w:rsid w:val="006F1468"/>
    <w:rPr>
      <w:vertAlign w:val="superscript"/>
    </w:rPr>
  </w:style>
  <w:style w:type="paragraph" w:customStyle="1" w:styleId="NumberList1">
    <w:name w:val="Number List 1"/>
    <w:basedOn w:val="Standaard"/>
    <w:qFormat/>
    <w:rsid w:val="006F1468"/>
    <w:pPr>
      <w:numPr>
        <w:numId w:val="6"/>
      </w:numPr>
    </w:pPr>
  </w:style>
  <w:style w:type="paragraph" w:customStyle="1" w:styleId="LetterList1">
    <w:name w:val="LetterList 1"/>
    <w:basedOn w:val="Standaard"/>
    <w:qFormat/>
    <w:rsid w:val="00540642"/>
    <w:pPr>
      <w:numPr>
        <w:numId w:val="7"/>
      </w:numPr>
    </w:pPr>
  </w:style>
  <w:style w:type="paragraph" w:styleId="Ballontekst">
    <w:name w:val="Balloon Text"/>
    <w:basedOn w:val="Standaard"/>
    <w:link w:val="BallontekstChar"/>
    <w:uiPriority w:val="99"/>
    <w:semiHidden/>
    <w:unhideWhenUsed/>
    <w:rsid w:val="00AA5F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F10"/>
    <w:rPr>
      <w:rFonts w:ascii="Segoe UI" w:hAnsi="Segoe UI" w:cs="Segoe UI"/>
      <w:sz w:val="18"/>
      <w:szCs w:val="18"/>
      <w:lang w:val="en-US"/>
    </w:rPr>
  </w:style>
  <w:style w:type="character" w:styleId="Subtielebenadrukking">
    <w:name w:val="Subtle Emphasis"/>
    <w:basedOn w:val="Standaardalinea-lettertype"/>
    <w:uiPriority w:val="19"/>
    <w:qFormat/>
    <w:rsid w:val="00A8759B"/>
    <w:rPr>
      <w:i/>
      <w:iCs/>
      <w:color w:val="404040" w:themeColor="text1" w:themeTint="BF"/>
    </w:rPr>
  </w:style>
  <w:style w:type="character" w:styleId="Verwijzingopmerking">
    <w:name w:val="annotation reference"/>
    <w:basedOn w:val="Standaardalinea-lettertype"/>
    <w:uiPriority w:val="99"/>
    <w:semiHidden/>
    <w:unhideWhenUsed/>
    <w:rsid w:val="00BC5915"/>
    <w:rPr>
      <w:sz w:val="16"/>
      <w:szCs w:val="16"/>
    </w:rPr>
  </w:style>
  <w:style w:type="paragraph" w:styleId="Tekstopmerking">
    <w:name w:val="annotation text"/>
    <w:basedOn w:val="Standaard"/>
    <w:link w:val="TekstopmerkingChar"/>
    <w:uiPriority w:val="99"/>
    <w:semiHidden/>
    <w:unhideWhenUsed/>
    <w:rsid w:val="00BC5915"/>
    <w:rPr>
      <w:sz w:val="20"/>
      <w:szCs w:val="20"/>
    </w:rPr>
  </w:style>
  <w:style w:type="character" w:customStyle="1" w:styleId="TekstopmerkingChar">
    <w:name w:val="Tekst opmerking Char"/>
    <w:basedOn w:val="Standaardalinea-lettertype"/>
    <w:link w:val="Tekstopmerking"/>
    <w:uiPriority w:val="99"/>
    <w:semiHidden/>
    <w:rsid w:val="00BC5915"/>
    <w:rPr>
      <w:rFonts w:ascii="Calibri"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C5915"/>
    <w:rPr>
      <w:b/>
      <w:bCs/>
    </w:rPr>
  </w:style>
  <w:style w:type="character" w:customStyle="1" w:styleId="OnderwerpvanopmerkingChar">
    <w:name w:val="Onderwerp van opmerking Char"/>
    <w:basedOn w:val="TekstopmerkingChar"/>
    <w:link w:val="Onderwerpvanopmerking"/>
    <w:uiPriority w:val="99"/>
    <w:semiHidden/>
    <w:rsid w:val="00BC5915"/>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2335">
      <w:bodyDiv w:val="1"/>
      <w:marLeft w:val="0"/>
      <w:marRight w:val="0"/>
      <w:marTop w:val="0"/>
      <w:marBottom w:val="0"/>
      <w:divBdr>
        <w:top w:val="none" w:sz="0" w:space="0" w:color="auto"/>
        <w:left w:val="none" w:sz="0" w:space="0" w:color="auto"/>
        <w:bottom w:val="none" w:sz="0" w:space="0" w:color="auto"/>
        <w:right w:val="none" w:sz="0" w:space="0" w:color="auto"/>
      </w:divBdr>
    </w:div>
    <w:div w:id="1154640289">
      <w:bodyDiv w:val="1"/>
      <w:marLeft w:val="0"/>
      <w:marRight w:val="0"/>
      <w:marTop w:val="0"/>
      <w:marBottom w:val="0"/>
      <w:divBdr>
        <w:top w:val="none" w:sz="0" w:space="0" w:color="auto"/>
        <w:left w:val="none" w:sz="0" w:space="0" w:color="auto"/>
        <w:bottom w:val="none" w:sz="0" w:space="0" w:color="auto"/>
        <w:right w:val="none" w:sz="0" w:space="0" w:color="auto"/>
      </w:divBdr>
    </w:div>
    <w:div w:id="1836996778">
      <w:bodyDiv w:val="1"/>
      <w:marLeft w:val="0"/>
      <w:marRight w:val="0"/>
      <w:marTop w:val="0"/>
      <w:marBottom w:val="0"/>
      <w:divBdr>
        <w:top w:val="none" w:sz="0" w:space="0" w:color="auto"/>
        <w:left w:val="none" w:sz="0" w:space="0" w:color="auto"/>
        <w:bottom w:val="none" w:sz="0" w:space="0" w:color="auto"/>
        <w:right w:val="none" w:sz="0" w:space="0" w:color="auto"/>
      </w:divBdr>
    </w:div>
    <w:div w:id="1859588119">
      <w:bodyDiv w:val="1"/>
      <w:marLeft w:val="0"/>
      <w:marRight w:val="0"/>
      <w:marTop w:val="0"/>
      <w:marBottom w:val="0"/>
      <w:divBdr>
        <w:top w:val="none" w:sz="0" w:space="0" w:color="auto"/>
        <w:left w:val="none" w:sz="0" w:space="0" w:color="auto"/>
        <w:bottom w:val="none" w:sz="0" w:space="0" w:color="auto"/>
        <w:right w:val="none" w:sz="0" w:space="0" w:color="auto"/>
      </w:divBdr>
    </w:div>
    <w:div w:id="20261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87AC-5C32-4930-92A3-C368B07B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3996</Words>
  <Characters>21978</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Cornaert Laurence</dc:creator>
  <cp:keywords/>
  <dc:description/>
  <cp:lastModifiedBy>Gerda Elsen</cp:lastModifiedBy>
  <cp:revision>2</cp:revision>
  <cp:lastPrinted>2018-11-28T09:34:00Z</cp:lastPrinted>
  <dcterms:created xsi:type="dcterms:W3CDTF">2018-11-28T09:35:00Z</dcterms:created>
  <dcterms:modified xsi:type="dcterms:W3CDTF">2018-11-28T09:35:00Z</dcterms:modified>
</cp:coreProperties>
</file>